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0"/>
      </w:tblGrid>
      <w:tr w:rsidR="002C04E6" w:rsidRPr="002C04E6" w:rsidTr="002C04E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0"/>
            </w:tblGrid>
            <w:tr w:rsidR="002C04E6" w:rsidRPr="002C04E6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0"/>
                  </w:tblGrid>
                  <w:tr w:rsidR="002C04E6" w:rsidRPr="002C04E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2048"/>
                          <w:gridCol w:w="34"/>
                          <w:gridCol w:w="26640"/>
                          <w:gridCol w:w="33"/>
                          <w:gridCol w:w="33"/>
                          <w:gridCol w:w="6"/>
                        </w:tblGrid>
                        <w:tr w:rsidR="002C04E6" w:rsidRPr="002C04E6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gridSpan w:val="4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76"/>
                              </w:tblGrid>
                              <w:tr w:rsidR="002C04E6" w:rsidRPr="002C04E6">
                                <w:trPr>
                                  <w:trHeight w:val="496"/>
                                  <w:tblCellSpacing w:w="0" w:type="dxa"/>
                                </w:trPr>
                                <w:tc>
                                  <w:tcPr>
                                    <w:tcW w:w="93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rFonts w:ascii="Verdana" w:hAnsi="Verdana"/>
                                        <w:color w:val="000000"/>
                                        <w:sz w:val="40"/>
                                        <w:szCs w:val="40"/>
                                        <w:lang w:eastAsia="sq-AL"/>
                                      </w:rPr>
                                    </w:pPr>
                                    <w:proofErr w:type="spellStart"/>
                                    <w:r w:rsidRPr="002C04E6">
                                      <w:rPr>
                                        <w:rFonts w:ascii="Verdana" w:hAnsi="Verdana"/>
                                        <w:color w:val="000000"/>
                                        <w:sz w:val="40"/>
                                        <w:szCs w:val="40"/>
                                        <w:lang w:eastAsia="sq-AL"/>
                                      </w:rPr>
                                      <w:t>Regjistri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Verdana" w:hAnsi="Verdana"/>
                                        <w:color w:val="000000"/>
                                        <w:sz w:val="40"/>
                                        <w:szCs w:val="40"/>
                                        <w:lang w:eastAsia="sq-A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Verdana" w:hAnsi="Verdana"/>
                                        <w:color w:val="000000"/>
                                        <w:sz w:val="40"/>
                                        <w:szCs w:val="40"/>
                                        <w:lang w:eastAsia="sq-AL"/>
                                      </w:rPr>
                                      <w:t>i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Verdana" w:hAnsi="Verdana"/>
                                        <w:color w:val="000000"/>
                                        <w:sz w:val="40"/>
                                        <w:szCs w:val="40"/>
                                        <w:lang w:eastAsia="sq-A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Verdana" w:hAnsi="Verdana"/>
                                        <w:color w:val="000000"/>
                                        <w:sz w:val="40"/>
                                        <w:szCs w:val="40"/>
                                        <w:lang w:eastAsia="sq-AL"/>
                                      </w:rPr>
                                      <w:t>parashikimeve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Verdana" w:hAnsi="Verdana"/>
                                        <w:color w:val="000000"/>
                                        <w:sz w:val="40"/>
                                        <w:szCs w:val="40"/>
                                        <w:lang w:eastAsia="sq-A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Verdana" w:hAnsi="Verdana"/>
                                        <w:color w:val="000000"/>
                                        <w:sz w:val="40"/>
                                        <w:szCs w:val="40"/>
                                        <w:lang w:eastAsia="sq-AL"/>
                                      </w:rPr>
                                      <w:t>të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Verdana" w:hAnsi="Verdana"/>
                                        <w:color w:val="000000"/>
                                        <w:sz w:val="40"/>
                                        <w:szCs w:val="40"/>
                                        <w:lang w:eastAsia="sq-A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Verdana" w:hAnsi="Verdana"/>
                                        <w:color w:val="000000"/>
                                        <w:sz w:val="40"/>
                                        <w:szCs w:val="40"/>
                                        <w:lang w:eastAsia="sq-AL"/>
                                      </w:rPr>
                                      <w:t>prokurimit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Verdana" w:hAnsi="Verdana"/>
                                        <w:color w:val="000000"/>
                                        <w:sz w:val="40"/>
                                        <w:szCs w:val="40"/>
                                        <w:lang w:eastAsia="sq-A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Verdana" w:hAnsi="Verdana"/>
                                        <w:color w:val="000000"/>
                                        <w:sz w:val="40"/>
                                        <w:szCs w:val="40"/>
                                        <w:lang w:eastAsia="sq-AL"/>
                                      </w:rPr>
                                      <w:t>publik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</w:tr>
                        <w:tr w:rsidR="002C04E6" w:rsidRPr="002C04E6">
                          <w:trPr>
                            <w:gridAfter w:val="1"/>
                            <w:trHeight w:val="10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</w:tr>
                        <w:tr w:rsidR="002C04E6" w:rsidRPr="002C04E6">
                          <w:trPr>
                            <w:gridAfter w:val="1"/>
                            <w:trHeight w:val="360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48"/>
                              </w:tblGrid>
                              <w:tr w:rsidR="002C04E6" w:rsidRPr="002C04E6">
                                <w:trPr>
                                  <w:trHeight w:val="280"/>
                                  <w:tblCellSpacing w:w="0" w:type="dxa"/>
                                </w:trPr>
                                <w:tc>
                                  <w:tcPr>
                                    <w:tcW w:w="230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lang w:eastAsia="sq-AL"/>
                                      </w:rPr>
                                    </w:pP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lang w:eastAsia="sq-AL"/>
                                      </w:rPr>
                                      <w:t>Për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lang w:eastAsia="sq-A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lang w:eastAsia="sq-AL"/>
                                      </w:rPr>
                                      <w:t>vitin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lang w:eastAsia="sq-AL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</w:tbl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20"/>
                              </w:tblGrid>
                              <w:tr w:rsidR="002C04E6" w:rsidRPr="002C04E6">
                                <w:trPr>
                                  <w:trHeight w:val="280"/>
                                  <w:tblCellSpacing w:w="0" w:type="dxa"/>
                                </w:trPr>
                                <w:tc>
                                  <w:tcPr>
                                    <w:tcW w:w="19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u w:val="single"/>
                                        <w:lang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u w:val="single"/>
                                        <w:lang w:eastAsia="sq-AL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</w:tbl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0"/>
                              <w:vMerge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</w:tr>
                        <w:tr w:rsidR="002C04E6" w:rsidRPr="002C04E6">
                          <w:trPr>
                            <w:gridAfter w:val="1"/>
                            <w:trHeight w:val="42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0"/>
                              <w:vMerge/>
                              <w:vAlign w:val="center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</w:tr>
                        <w:tr w:rsidR="002C04E6" w:rsidRPr="002C04E6">
                          <w:trPr>
                            <w:trHeight w:val="360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48"/>
                              </w:tblGrid>
                              <w:tr w:rsidR="002C04E6" w:rsidRPr="002C04E6">
                                <w:trPr>
                                  <w:trHeight w:val="280"/>
                                  <w:tblCellSpacing w:w="0" w:type="dxa"/>
                                </w:trPr>
                                <w:tc>
                                  <w:tcPr>
                                    <w:tcW w:w="230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lang w:eastAsia="sq-AL"/>
                                      </w:rPr>
                                    </w:pP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lang w:eastAsia="sq-AL"/>
                                      </w:rPr>
                                      <w:t>Autoriteti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lang w:eastAsia="sq-A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lang w:eastAsia="sq-AL"/>
                                      </w:rPr>
                                      <w:t>Kontraktor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lang w:eastAsia="sq-AL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</w:tbl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91"/>
                              </w:tblGrid>
                              <w:tr w:rsidR="002C04E6" w:rsidRPr="002C04E6">
                                <w:trPr>
                                  <w:trHeight w:val="280"/>
                                  <w:tblCellSpacing w:w="0" w:type="dxa"/>
                                </w:trPr>
                                <w:tc>
                                  <w:tcPr>
                                    <w:tcW w:w="819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000000"/>
                                        <w:u w:val="single"/>
                                        <w:lang w:eastAsia="sq-AL"/>
                                      </w:rPr>
                                    </w:pP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u w:val="single"/>
                                        <w:lang w:eastAsia="sq-AL"/>
                                      </w:rPr>
                                      <w:t>Agjencia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u w:val="single"/>
                                        <w:lang w:eastAsia="sq-A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u w:val="single"/>
                                        <w:lang w:eastAsia="sq-AL"/>
                                      </w:rPr>
                                      <w:t>Kombëtare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u w:val="single"/>
                                        <w:lang w:eastAsia="sq-AL"/>
                                      </w:rPr>
                                      <w:t xml:space="preserve"> e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u w:val="single"/>
                                        <w:lang w:eastAsia="sq-AL"/>
                                      </w:rPr>
                                      <w:t>Falimentimit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Merge w:val="restart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</w:tr>
                        <w:tr w:rsidR="002C04E6" w:rsidRPr="002C04E6">
                          <w:trPr>
                            <w:trHeight w:val="1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Merge/>
                              <w:vAlign w:val="center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</w:tr>
                        <w:tr w:rsidR="002C04E6" w:rsidRPr="002C04E6">
                          <w:trPr>
                            <w:trHeight w:val="7921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"/>
                                <w:gridCol w:w="592"/>
                                <w:gridCol w:w="3263"/>
                                <w:gridCol w:w="2927"/>
                                <w:gridCol w:w="1688"/>
                                <w:gridCol w:w="1391"/>
                                <w:gridCol w:w="1581"/>
                                <w:gridCol w:w="2455"/>
                                <w:gridCol w:w="1587"/>
                                <w:gridCol w:w="1684"/>
                                <w:gridCol w:w="1454"/>
                                <w:gridCol w:w="2309"/>
                                <w:gridCol w:w="2041"/>
                                <w:gridCol w:w="1297"/>
                                <w:gridCol w:w="2434"/>
                              </w:tblGrid>
                              <w:tr w:rsidR="002C04E6" w:rsidRPr="002C04E6">
                                <w:tc>
                                  <w:tcPr>
                                    <w:tcW w:w="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81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11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4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0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8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7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5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5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15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top w:val="nil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  <w:t>Nr.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  <w:t>Objekti i Prokurimit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  <w:t>Kodet CVP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  <w:t>Lloji i prokurimit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  <w:t>Tipi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  <w:t>Tipi i kontratës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  <w:t>Lloji i regjistrit të prokurimit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  <w:t>Fondi i përllogaritur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  <w:t>Burimi i Financimit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  <w:t>Vlera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  <w:t>Lloji i procedurës së prokurimit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  <w:t>Koha e planifikuar për zhvillimin e procedurës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  <w:t>I modifikuar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6495ED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  <w:t>Organi qendror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top w:val="single" w:sz="8" w:space="0" w:color="000000"/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Blerje Pajisje Elektronike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Pajisje elektronike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Prokurim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Kontrate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Mallra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Blerje nen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vleren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100 000 Leke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100000.00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Buxheti i shtetit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100000.00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Dhjetor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Jo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Vetë Financim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Fonde të tjera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top w:val="single" w:sz="8" w:space="0" w:color="000000"/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Blerje Kancelarie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Qese poste, Stilolapsa, Lapsa,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Heqes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i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kapseve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te letrave,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Zarfa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, bileta postare dhe kartolina të thjeshta,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Zarfa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, Letër e vazhdueshme për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printera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kompjuteri, Kalendarë, Gërshërë, Vizore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Prokurim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Kontrate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Mallra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Blerje nen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vleren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100 000 Leke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60000.00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Buxheti i shtetit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60000.00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Dhjetor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Jo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Vetë Financim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Fonde të tjera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top w:val="single" w:sz="8" w:space="0" w:color="000000"/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Mirembajtje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hostim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de zhvillimi i faqes se internetit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Mirëmbajtja e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softwareve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të teknologjisë së informacionit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Prokurim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Kontrate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Shërbime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Blerje nen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vleren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100 000 Leke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69000.00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Buxheti i shtetit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69000.00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Dhjetor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Jo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Vetë Financim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Fonde të tjera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top w:val="single" w:sz="8" w:space="0" w:color="000000"/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Mirembajtje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e pajisjeve elektronike (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Kompiuter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; printer; fotokopje etj.)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Mirëmbajtje dhe riparim i pajisjeve kompjuterike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Prokurim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Kontrate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Shërbime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Blerje nen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vleren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100 000 Leke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25000.00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Buxheti i shtetit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25000.00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Dhjetor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Jo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Vetë Financim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Fonde të tjera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top w:val="single" w:sz="8" w:space="0" w:color="000000"/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Tonera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per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printera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, fotokopje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Toner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per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printer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lazer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/makina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fax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, Toner për makinat fotokopjuese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Prokurim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Kontrate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Mallra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Blerje nen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vleren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100 000 Leke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55000.00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Buxheti i shtetit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55000.00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Dhjetor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Jo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Vetë Financim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Fonde të tjera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top w:val="single" w:sz="8" w:space="0" w:color="000000"/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Bileta Avioni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Bil</w:t>
                                    </w:r>
                                    <w:bookmarkStart w:id="0" w:name="_GoBack"/>
                                    <w:bookmarkEnd w:id="0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eta, Bileta transporti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Prokurim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Sistem Dinamik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Shërbime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Procedure Prokurimi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200000.00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Buxheti i shtetit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200000.00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Purchase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Tickets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Dhjetor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Jo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Vetë Financim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Fonde të tjera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top w:val="single" w:sz="8" w:space="0" w:color="000000"/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Flete palosje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Fletëpalosjet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Prokurim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Kontrate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Mallra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Blerje nen </w:t>
                                    </w:r>
                                    <w:proofErr w:type="spellStart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vleren</w:t>
                                    </w:r>
                                    <w:proofErr w:type="spellEnd"/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 xml:space="preserve"> 100 000 Leke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20000.00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Buxheti i shtetit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20000.00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Dhjetor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Jo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left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Vetë Financim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left w:val="single" w:sz="8" w:space="0" w:color="000000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04E6" w:rsidRPr="002C04E6">
                                <w:trPr>
                                  <w:trHeight w:val="36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5" w:type="dxa"/>
                                    <w:tcBorders>
                                      <w:left w:val="nil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10" w:type="dxa"/>
                                    <w:tcBorders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6" w:type="dxa"/>
                                    <w:tcBorders>
                                      <w:top w:val="nil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  <w:tcBorders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Fonde të tjera</w:t>
                                    </w:r>
                                  </w:p>
                                </w:tc>
                                <w:tc>
                                  <w:tcPr>
                                    <w:tcW w:w="17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rFonts w:ascii="Arial" w:hAnsi="Arial" w:cs="Arial"/>
                                        <w:color w:val="000000"/>
                                        <w:lang w:val="sq-AL" w:eastAsia="sq-AL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tcBorders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5" w:type="dxa"/>
                                    <w:tcBorders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15" w:type="dxa"/>
                                    <w:tcBorders>
                                      <w:left w:val="single" w:sz="8" w:space="0" w:color="000000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C04E6" w:rsidRPr="002C04E6" w:rsidRDefault="002C04E6" w:rsidP="002C04E6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</w:pPr>
                                    <w:r w:rsidRPr="002C04E6">
                                      <w:rPr>
                                        <w:sz w:val="2"/>
                                        <w:szCs w:val="2"/>
                                        <w:lang w:val="sq-AL" w:eastAsia="sq-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  <w:lang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</w:tr>
                        <w:tr w:rsidR="002C04E6" w:rsidRPr="002C04E6">
                          <w:trPr>
                            <w:trHeight w:val="182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vAlign w:val="center"/>
                              <w:hideMark/>
                            </w:tcPr>
                            <w:p w:rsidR="002C04E6" w:rsidRPr="002C04E6" w:rsidRDefault="002C04E6" w:rsidP="002C04E6">
                              <w:pPr>
                                <w:spacing w:after="0" w:line="240" w:lineRule="auto"/>
                                <w:rPr>
                                  <w:lang w:val="sq-AL" w:eastAsia="sq-AL"/>
                                </w:rPr>
                              </w:pPr>
                            </w:p>
                          </w:tc>
                        </w:tr>
                      </w:tbl>
                      <w:p w:rsidR="002C04E6" w:rsidRPr="002C04E6" w:rsidRDefault="002C04E6" w:rsidP="002C04E6">
                        <w:pPr>
                          <w:spacing w:after="0" w:line="240" w:lineRule="auto"/>
                          <w:rPr>
                            <w:sz w:val="24"/>
                            <w:szCs w:val="24"/>
                            <w:lang w:val="sq-AL" w:eastAsia="sq-AL"/>
                          </w:rPr>
                        </w:pPr>
                      </w:p>
                    </w:tc>
                  </w:tr>
                </w:tbl>
                <w:p w:rsidR="002C04E6" w:rsidRPr="002C04E6" w:rsidRDefault="002C04E6" w:rsidP="002C04E6">
                  <w:pPr>
                    <w:spacing w:after="0" w:line="240" w:lineRule="auto"/>
                    <w:rPr>
                      <w:sz w:val="24"/>
                      <w:szCs w:val="24"/>
                      <w:lang w:val="sq-AL" w:eastAsia="sq-AL"/>
                    </w:rPr>
                  </w:pPr>
                </w:p>
              </w:tc>
            </w:tr>
            <w:tr w:rsidR="002C04E6" w:rsidRPr="002C04E6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"/>
                    <w:gridCol w:w="5485"/>
                    <w:gridCol w:w="2742"/>
                    <w:gridCol w:w="20566"/>
                  </w:tblGrid>
                  <w:tr w:rsidR="002C04E6" w:rsidRPr="002C04E6">
                    <w:trPr>
                      <w:trHeight w:val="28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C04E6" w:rsidRPr="002C04E6" w:rsidRDefault="002C04E6" w:rsidP="002C04E6">
                        <w:pPr>
                          <w:spacing w:after="0" w:line="240" w:lineRule="auto"/>
                          <w:rPr>
                            <w:lang w:val="sq-AL" w:eastAsia="sq-AL"/>
                          </w:rPr>
                        </w:pPr>
                      </w:p>
                    </w:tc>
                    <w:tc>
                      <w:tcPr>
                        <w:tcW w:w="5761" w:type="dxa"/>
                        <w:vAlign w:val="center"/>
                        <w:hideMark/>
                      </w:tcPr>
                      <w:p w:rsidR="002C04E6" w:rsidRPr="002C04E6" w:rsidRDefault="002C04E6" w:rsidP="002C04E6">
                        <w:pPr>
                          <w:spacing w:after="0" w:line="240" w:lineRule="auto"/>
                          <w:rPr>
                            <w:lang w:val="sq-AL" w:eastAsia="sq-AL"/>
                          </w:rPr>
                        </w:pPr>
                      </w:p>
                    </w:tc>
                    <w:tc>
                      <w:tcPr>
                        <w:tcW w:w="2880" w:type="dxa"/>
                        <w:vAlign w:val="center"/>
                        <w:hideMark/>
                      </w:tcPr>
                      <w:p w:rsidR="002C04E6" w:rsidRPr="002C04E6" w:rsidRDefault="002C04E6" w:rsidP="002C04E6">
                        <w:pPr>
                          <w:spacing w:after="0" w:line="240" w:lineRule="auto"/>
                          <w:rPr>
                            <w:lang w:val="sq-AL" w:eastAsia="sq-AL"/>
                          </w:rPr>
                        </w:pPr>
                      </w:p>
                    </w:tc>
                    <w:tc>
                      <w:tcPr>
                        <w:tcW w:w="21600" w:type="dxa"/>
                        <w:vAlign w:val="center"/>
                        <w:hideMark/>
                      </w:tcPr>
                      <w:p w:rsidR="002C04E6" w:rsidRPr="002C04E6" w:rsidRDefault="002C04E6" w:rsidP="002C04E6">
                        <w:pPr>
                          <w:spacing w:after="0" w:line="240" w:lineRule="auto"/>
                          <w:rPr>
                            <w:lang w:val="sq-AL" w:eastAsia="sq-AL"/>
                          </w:rPr>
                        </w:pPr>
                      </w:p>
                    </w:tc>
                  </w:tr>
                  <w:tr w:rsidR="002C04E6" w:rsidRPr="002C04E6" w:rsidTr="002C04E6">
                    <w:trPr>
                      <w:trHeight w:val="360"/>
                    </w:trPr>
                    <w:tc>
                      <w:tcPr>
                        <w:tcW w:w="6" w:type="dxa"/>
                        <w:hideMark/>
                      </w:tcPr>
                      <w:p w:rsidR="002C04E6" w:rsidRPr="002C04E6" w:rsidRDefault="002C04E6" w:rsidP="002C04E6">
                        <w:pPr>
                          <w:spacing w:after="0" w:line="240" w:lineRule="auto"/>
                          <w:rPr>
                            <w:lang w:val="sq-AL" w:eastAsia="sq-AL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C04E6" w:rsidRPr="002C04E6" w:rsidRDefault="002C04E6" w:rsidP="002C04E6">
                        <w:pPr>
                          <w:spacing w:after="0" w:line="240" w:lineRule="auto"/>
                          <w:rPr>
                            <w:lang w:val="sq-AL" w:eastAsia="sq-AL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2C04E6" w:rsidRPr="002C04E6" w:rsidRDefault="002C04E6" w:rsidP="002C04E6">
                        <w:pPr>
                          <w:spacing w:after="0" w:line="240" w:lineRule="auto"/>
                          <w:rPr>
                            <w:sz w:val="24"/>
                            <w:szCs w:val="24"/>
                            <w:lang w:eastAsia="sq-AL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2C04E6" w:rsidRPr="002C04E6" w:rsidRDefault="002C04E6" w:rsidP="002C04E6">
                        <w:pPr>
                          <w:spacing w:after="0" w:line="240" w:lineRule="auto"/>
                          <w:rPr>
                            <w:lang w:val="sq-AL" w:eastAsia="sq-AL"/>
                          </w:rPr>
                        </w:pPr>
                      </w:p>
                    </w:tc>
                  </w:tr>
                </w:tbl>
                <w:p w:rsidR="002C04E6" w:rsidRPr="002C04E6" w:rsidRDefault="002C04E6" w:rsidP="002C04E6">
                  <w:pPr>
                    <w:spacing w:after="0" w:line="240" w:lineRule="auto"/>
                    <w:rPr>
                      <w:sz w:val="24"/>
                      <w:szCs w:val="24"/>
                      <w:lang w:val="sq-AL" w:eastAsia="sq-AL"/>
                    </w:rPr>
                  </w:pPr>
                </w:p>
              </w:tc>
            </w:tr>
          </w:tbl>
          <w:p w:rsidR="002C04E6" w:rsidRPr="002C04E6" w:rsidRDefault="002C04E6" w:rsidP="002C04E6">
            <w:pPr>
              <w:spacing w:after="0" w:line="240" w:lineRule="auto"/>
              <w:rPr>
                <w:sz w:val="24"/>
                <w:szCs w:val="24"/>
                <w:lang w:val="sq-AL" w:eastAsia="sq-AL"/>
              </w:rPr>
            </w:pPr>
          </w:p>
        </w:tc>
      </w:tr>
    </w:tbl>
    <w:p w:rsidR="00A57D9A" w:rsidRDefault="00A57D9A">
      <w:pPr>
        <w:spacing w:after="0" w:line="240" w:lineRule="auto"/>
      </w:pPr>
    </w:p>
    <w:sectPr w:rsidR="00A57D9A">
      <w:footerReference w:type="default" r:id="rId7"/>
      <w:pgSz w:w="3168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7E" w:rsidRDefault="00D7037E">
      <w:pPr>
        <w:spacing w:after="0" w:line="240" w:lineRule="auto"/>
      </w:pPr>
      <w:r>
        <w:separator/>
      </w:r>
    </w:p>
  </w:endnote>
  <w:endnote w:type="continuationSeparator" w:id="0">
    <w:p w:rsidR="00D7037E" w:rsidRDefault="00D7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5"/>
      <w:gridCol w:w="2624"/>
      <w:gridCol w:w="20941"/>
    </w:tblGrid>
    <w:tr w:rsidR="00A57D9A">
      <w:tc>
        <w:tcPr>
          <w:tcW w:w="5760" w:type="dxa"/>
        </w:tcPr>
        <w:p w:rsidR="00A57D9A" w:rsidRDefault="00A57D9A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A57D9A" w:rsidRDefault="00A57D9A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A57D9A" w:rsidRDefault="00A57D9A">
          <w:pPr>
            <w:pStyle w:val="EmptyCellLayoutStyle"/>
            <w:spacing w:after="0" w:line="240" w:lineRule="auto"/>
          </w:pPr>
        </w:p>
      </w:tc>
    </w:tr>
    <w:tr w:rsidR="00A57D9A">
      <w:tc>
        <w:tcPr>
          <w:tcW w:w="5760" w:type="dxa"/>
        </w:tcPr>
        <w:p w:rsidR="00A57D9A" w:rsidRDefault="00A57D9A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24"/>
          </w:tblGrid>
          <w:tr w:rsidR="00A57D9A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7D9A" w:rsidRDefault="00A57D9A">
                <w:pPr>
                  <w:spacing w:after="0" w:line="240" w:lineRule="auto"/>
                  <w:jc w:val="right"/>
                </w:pPr>
              </w:p>
            </w:tc>
          </w:tr>
        </w:tbl>
        <w:p w:rsidR="00A57D9A" w:rsidRDefault="00A57D9A">
          <w:pPr>
            <w:spacing w:after="0" w:line="240" w:lineRule="auto"/>
          </w:pPr>
        </w:p>
      </w:tc>
      <w:tc>
        <w:tcPr>
          <w:tcW w:w="23041" w:type="dxa"/>
        </w:tcPr>
        <w:p w:rsidR="00A57D9A" w:rsidRDefault="00A57D9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7E" w:rsidRDefault="00D7037E">
      <w:pPr>
        <w:spacing w:after="0" w:line="240" w:lineRule="auto"/>
      </w:pPr>
      <w:r>
        <w:separator/>
      </w:r>
    </w:p>
  </w:footnote>
  <w:footnote w:type="continuationSeparator" w:id="0">
    <w:p w:rsidR="00D7037E" w:rsidRDefault="00D70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9A"/>
    <w:rsid w:val="000A0512"/>
    <w:rsid w:val="00260D13"/>
    <w:rsid w:val="002C04E6"/>
    <w:rsid w:val="009028F7"/>
    <w:rsid w:val="0097748D"/>
    <w:rsid w:val="00A57D9A"/>
    <w:rsid w:val="00D7037E"/>
    <w:rsid w:val="00E0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0CA05-9393-49FB-A3CF-5B8E3AB0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977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48D"/>
  </w:style>
  <w:style w:type="paragraph" w:styleId="Footer">
    <w:name w:val="footer"/>
    <w:basedOn w:val="Normal"/>
    <w:link w:val="FooterChar"/>
    <w:uiPriority w:val="99"/>
    <w:unhideWhenUsed/>
    <w:rsid w:val="00977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6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WF_ProcurementPlanExecution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WF_ProcurementPlanExecution</dc:title>
  <dc:creator>Dejvi</dc:creator>
  <dc:description/>
  <cp:lastModifiedBy>Ak Falimenti</cp:lastModifiedBy>
  <cp:revision>3</cp:revision>
  <dcterms:created xsi:type="dcterms:W3CDTF">2023-11-21T09:41:00Z</dcterms:created>
  <dcterms:modified xsi:type="dcterms:W3CDTF">2023-11-21T09:42:00Z</dcterms:modified>
</cp:coreProperties>
</file>