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52" w:rsidRPr="00450552" w:rsidRDefault="00450552" w:rsidP="00450552">
      <w:pPr>
        <w:spacing w:after="0"/>
        <w:rPr>
          <w:rFonts w:ascii="Times New Roman" w:eastAsia="Times New Roman" w:hAnsi="Times New Roman" w:cs="Times New Roman"/>
          <w:sz w:val="18"/>
          <w:szCs w:val="18"/>
          <w:lang w:val="sq-AL"/>
        </w:rPr>
      </w:pPr>
      <w:r w:rsidRPr="00450552">
        <w:rPr>
          <w:rFonts w:eastAsiaTheme="minorHAnsi"/>
          <w:noProof/>
        </w:rPr>
        <w:drawing>
          <wp:inline distT="0" distB="0" distL="0" distR="0" wp14:anchorId="092573A2" wp14:editId="7CD1C4EC">
            <wp:extent cx="59436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552" w:rsidRPr="00450552" w:rsidRDefault="00450552" w:rsidP="00450552">
      <w:pPr>
        <w:spacing w:after="0"/>
        <w:jc w:val="center"/>
        <w:rPr>
          <w:rFonts w:ascii="Times New Roman" w:eastAsia="MS Mincho" w:hAnsi="Times New Roman" w:cs="Times New Roman"/>
          <w:b/>
          <w:lang w:val="sq-AL"/>
        </w:rPr>
      </w:pPr>
      <w:r w:rsidRPr="00450552">
        <w:rPr>
          <w:rFonts w:ascii="Times New Roman" w:eastAsia="MS Mincho" w:hAnsi="Times New Roman" w:cs="Times New Roman"/>
          <w:b/>
          <w:lang w:val="sq-AL"/>
        </w:rPr>
        <w:t>MINISTRIA E DREJTËSISË</w:t>
      </w:r>
    </w:p>
    <w:p w:rsidR="00450552" w:rsidRPr="00450552" w:rsidRDefault="00450552" w:rsidP="00450552">
      <w:pPr>
        <w:spacing w:after="0"/>
        <w:jc w:val="center"/>
        <w:rPr>
          <w:rFonts w:ascii="Times New Roman" w:eastAsia="MS Mincho" w:hAnsi="Times New Roman" w:cs="Times New Roman"/>
          <w:b/>
          <w:lang w:val="sq-AL"/>
        </w:rPr>
      </w:pPr>
      <w:r w:rsidRPr="00450552">
        <w:rPr>
          <w:rFonts w:ascii="Times New Roman" w:eastAsia="MS Mincho" w:hAnsi="Times New Roman" w:cs="Times New Roman"/>
          <w:b/>
          <w:lang w:val="sq-AL"/>
        </w:rPr>
        <w:t xml:space="preserve">AGJENCIA KOMBËTARE E FALIMENTIMIT                  </w:t>
      </w:r>
    </w:p>
    <w:p w:rsidR="00450552" w:rsidRPr="00450552" w:rsidRDefault="00450552" w:rsidP="00450552">
      <w:pPr>
        <w:spacing w:after="0"/>
        <w:rPr>
          <w:rFonts w:ascii="Times New Roman" w:eastAsia="MS Mincho" w:hAnsi="Times New Roman" w:cs="Times New Roman"/>
          <w:b/>
          <w:lang w:val="sq-AL"/>
        </w:rPr>
      </w:pPr>
    </w:p>
    <w:p w:rsidR="00450552" w:rsidRDefault="00450552" w:rsidP="007A0D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50552" w:rsidRDefault="00450552" w:rsidP="007A11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="007A116A">
        <w:rPr>
          <w:rFonts w:ascii="Times New Roman" w:eastAsia="Times New Roman" w:hAnsi="Times New Roman" w:cs="Times New Roman"/>
          <w:sz w:val="24"/>
          <w:szCs w:val="24"/>
          <w:lang w:val="sq-AL"/>
        </w:rPr>
        <w:t>NFORMACION MBI VEPRIMTARIN</w:t>
      </w:r>
      <w:r w:rsidR="002C5BD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A116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AKF-së</w:t>
      </w:r>
    </w:p>
    <w:p w:rsidR="007A116A" w:rsidRPr="00DE630B" w:rsidRDefault="007A116A" w:rsidP="007A116A">
      <w:pPr>
        <w:spacing w:after="0"/>
        <w:jc w:val="both"/>
        <w:rPr>
          <w:rFonts w:ascii="Times New Roman" w:eastAsia="Times New Roman" w:hAnsi="Times New Roman"/>
          <w:b/>
          <w:i/>
          <w:sz w:val="32"/>
          <w:szCs w:val="24"/>
          <w:lang w:val="sq-AL"/>
        </w:rPr>
      </w:pPr>
    </w:p>
    <w:p w:rsidR="007A116A" w:rsidRDefault="007A116A" w:rsidP="00A2789D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734E93">
        <w:rPr>
          <w:rFonts w:ascii="Times New Roman" w:eastAsia="Times New Roman" w:hAnsi="Times New Roman"/>
          <w:b/>
          <w:sz w:val="36"/>
          <w:szCs w:val="24"/>
          <w:lang w:val="sq-AL"/>
        </w:rPr>
        <w:t>A</w:t>
      </w:r>
      <w:r w:rsidRPr="00734E93">
        <w:rPr>
          <w:rFonts w:ascii="Times New Roman" w:eastAsia="Times New Roman" w:hAnsi="Times New Roman"/>
          <w:b/>
          <w:sz w:val="24"/>
          <w:szCs w:val="24"/>
          <w:lang w:val="sq-AL"/>
        </w:rPr>
        <w:t>gjencia Kombëtare e Falimentimit</w:t>
      </w:r>
      <w:r w:rsidRPr="00734E93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ka si mision që të promovojë </w:t>
      </w:r>
      <w:r w:rsidRPr="00734E93">
        <w:rPr>
          <w:rFonts w:ascii="Times New Roman" w:eastAsia="Times New Roman" w:hAnsi="Times New Roman"/>
          <w:b/>
          <w:sz w:val="24"/>
          <w:szCs w:val="24"/>
          <w:lang w:val="sq-AL"/>
        </w:rPr>
        <w:t>integritetin dhe efikasitetin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e sistemit të falimentimit për të mirën e të gjitha palëve të interesuara, debitorëve, kreditorëve dhe publikut.</w:t>
      </w:r>
    </w:p>
    <w:p w:rsidR="007A116A" w:rsidRDefault="007A116A" w:rsidP="00A2789D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4925CC">
        <w:rPr>
          <w:rFonts w:ascii="Times New Roman" w:eastAsia="Times New Roman" w:hAnsi="Times New Roman"/>
          <w:b/>
          <w:sz w:val="28"/>
          <w:szCs w:val="24"/>
          <w:lang w:val="sq-AL"/>
        </w:rPr>
        <w:t>A</w:t>
      </w:r>
      <w:r>
        <w:rPr>
          <w:rFonts w:ascii="Times New Roman" w:eastAsia="Times New Roman" w:hAnsi="Times New Roman"/>
          <w:b/>
          <w:sz w:val="28"/>
          <w:szCs w:val="24"/>
          <w:lang w:val="sq-AL"/>
        </w:rPr>
        <w:t>K</w:t>
      </w:r>
      <w:r w:rsidRPr="004925CC">
        <w:rPr>
          <w:rFonts w:ascii="Times New Roman" w:eastAsia="Times New Roman" w:hAnsi="Times New Roman"/>
          <w:b/>
          <w:sz w:val="28"/>
          <w:szCs w:val="24"/>
          <w:lang w:val="sq-AL"/>
        </w:rPr>
        <w:t>F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>-ja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është krijuar si institucion përbërës i Ministrisë së Drejtësisë me qëllim arsyen dhe reformimin e sistemit të falimentimit. Agjencia ka në përgjegjësi vendosjen e politikave për sistemin e falimentimit, </w:t>
      </w:r>
      <w:proofErr w:type="spellStart"/>
      <w:r>
        <w:rPr>
          <w:rFonts w:ascii="Times New Roman" w:eastAsia="Times New Roman" w:hAnsi="Times New Roman"/>
          <w:sz w:val="24"/>
          <w:szCs w:val="24"/>
          <w:lang w:val="sq-AL"/>
        </w:rPr>
        <w:t>mbikqyrjen</w:t>
      </w:r>
      <w:proofErr w:type="spellEnd"/>
      <w:r>
        <w:rPr>
          <w:rFonts w:ascii="Times New Roman" w:eastAsia="Times New Roman" w:hAnsi="Times New Roman"/>
          <w:sz w:val="24"/>
          <w:szCs w:val="24"/>
          <w:lang w:val="sq-AL"/>
        </w:rPr>
        <w:t xml:space="preserve"> e dispozitave të falimentimit në procedurën dhe sigurimin e mbështetjes administrative.</w:t>
      </w:r>
    </w:p>
    <w:p w:rsidR="007A116A" w:rsidRDefault="007A116A" w:rsidP="00A2789D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4925CC">
        <w:rPr>
          <w:rFonts w:ascii="Times New Roman" w:eastAsia="Times New Roman" w:hAnsi="Times New Roman"/>
          <w:b/>
          <w:sz w:val="28"/>
          <w:szCs w:val="24"/>
          <w:lang w:val="sq-AL"/>
        </w:rPr>
        <w:t>A</w:t>
      </w:r>
      <w:r>
        <w:rPr>
          <w:rFonts w:ascii="Times New Roman" w:eastAsia="Times New Roman" w:hAnsi="Times New Roman"/>
          <w:b/>
          <w:sz w:val="28"/>
          <w:szCs w:val="24"/>
          <w:lang w:val="sq-AL"/>
        </w:rPr>
        <w:t>K</w:t>
      </w:r>
      <w:r w:rsidRPr="004925CC">
        <w:rPr>
          <w:rFonts w:ascii="Times New Roman" w:eastAsia="Times New Roman" w:hAnsi="Times New Roman"/>
          <w:b/>
          <w:sz w:val="28"/>
          <w:szCs w:val="24"/>
          <w:lang w:val="sq-AL"/>
        </w:rPr>
        <w:t>F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>-ja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është përgjegjëse për një gamë të gjerë aktivitetesh jetike për sistemin e falimentimit, duke përfshirë mosnjohjet dhe zbatimin e praktikave që mbrojnë integritetin e sistemit dhe interesin e palëve, emërimin e administratorëve në çështjet e falimentit, inventarizimin e </w:t>
      </w:r>
      <w:proofErr w:type="spellStart"/>
      <w:r>
        <w:rPr>
          <w:rFonts w:ascii="Times New Roman" w:eastAsia="Times New Roman" w:hAnsi="Times New Roman"/>
          <w:sz w:val="24"/>
          <w:szCs w:val="24"/>
          <w:lang w:val="sq-AL"/>
        </w:rPr>
        <w:t>aseteve</w:t>
      </w:r>
      <w:proofErr w:type="spellEnd"/>
      <w:r>
        <w:rPr>
          <w:rFonts w:ascii="Times New Roman" w:eastAsia="Times New Roman" w:hAnsi="Times New Roman"/>
          <w:sz w:val="24"/>
          <w:szCs w:val="24"/>
          <w:lang w:val="sq-AL"/>
        </w:rPr>
        <w:t xml:space="preserve">, shitjen e tyre dhe likuidimin e palëve. </w:t>
      </w:r>
    </w:p>
    <w:p w:rsidR="007A116A" w:rsidRDefault="007A116A" w:rsidP="00A278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A116A" w:rsidRPr="007A116A" w:rsidRDefault="007A116A" w:rsidP="00A278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Objektivat dhe prioritetet e Agjencis</w:t>
      </w:r>
      <w:r w:rsidR="002C5BD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Komb</w:t>
      </w:r>
      <w:r w:rsidR="002C5BD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tare t</w:t>
      </w:r>
      <w:r w:rsidR="002C5BD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Falimentimit jan</w:t>
      </w:r>
      <w:r w:rsidR="002C5BD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m</w:t>
      </w:r>
      <w:r w:rsidR="002C5BD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posht</w:t>
      </w:r>
      <w:r w:rsidR="002C5BD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vijon:</w:t>
      </w:r>
    </w:p>
    <w:p w:rsidR="007A116A" w:rsidRPr="007A116A" w:rsidRDefault="007A116A" w:rsidP="00A2789D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7A116A">
        <w:rPr>
          <w:rFonts w:ascii="Times New Roman" w:hAnsi="Times New Roman"/>
          <w:bCs/>
          <w:sz w:val="24"/>
          <w:szCs w:val="24"/>
          <w:lang w:val="sq-AL"/>
        </w:rPr>
        <w:t>Plotësimi i kuadrit ligjor në fushën e falimentimit</w:t>
      </w:r>
      <w:r>
        <w:rPr>
          <w:rFonts w:ascii="Times New Roman" w:hAnsi="Times New Roman"/>
          <w:bCs/>
          <w:sz w:val="24"/>
          <w:szCs w:val="24"/>
          <w:lang w:val="sq-AL"/>
        </w:rPr>
        <w:t>;</w:t>
      </w:r>
    </w:p>
    <w:p w:rsidR="007A116A" w:rsidRPr="007A116A" w:rsidRDefault="007A116A" w:rsidP="00A2789D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eastAsiaTheme="minorEastAsia" w:hAnsiTheme="minorHAnsi" w:cstheme="minorBidi"/>
        </w:rPr>
      </w:pPr>
      <w:proofErr w:type="spellStart"/>
      <w:r w:rsidRPr="007A116A">
        <w:rPr>
          <w:rFonts w:ascii="Times New Roman" w:hAnsi="Times New Roman"/>
          <w:sz w:val="24"/>
          <w:szCs w:val="24"/>
        </w:rPr>
        <w:t>Lehtësimi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7A116A">
        <w:rPr>
          <w:rFonts w:ascii="Times New Roman" w:hAnsi="Times New Roman"/>
          <w:sz w:val="24"/>
          <w:szCs w:val="24"/>
        </w:rPr>
        <w:t>procesit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sz w:val="24"/>
          <w:szCs w:val="24"/>
        </w:rPr>
        <w:t>të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sz w:val="24"/>
          <w:szCs w:val="24"/>
        </w:rPr>
        <w:t>falimentimit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7A116A">
        <w:rPr>
          <w:rFonts w:ascii="Times New Roman" w:hAnsi="Times New Roman"/>
          <w:sz w:val="24"/>
          <w:szCs w:val="24"/>
        </w:rPr>
        <w:t>nxitur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sz w:val="24"/>
          <w:szCs w:val="24"/>
        </w:rPr>
        <w:t>funksionimin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sz w:val="24"/>
          <w:szCs w:val="24"/>
        </w:rPr>
        <w:t>efikas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16A">
        <w:rPr>
          <w:rFonts w:ascii="Times New Roman" w:hAnsi="Times New Roman"/>
          <w:sz w:val="24"/>
          <w:szCs w:val="24"/>
        </w:rPr>
        <w:t>të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sz w:val="24"/>
          <w:szCs w:val="24"/>
        </w:rPr>
        <w:t>shpejtë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sz w:val="24"/>
          <w:szCs w:val="24"/>
        </w:rPr>
        <w:t>dhe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sz w:val="24"/>
          <w:szCs w:val="24"/>
        </w:rPr>
        <w:t>në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sz w:val="24"/>
          <w:szCs w:val="24"/>
        </w:rPr>
        <w:t>përputhje</w:t>
      </w:r>
      <w:proofErr w:type="spellEnd"/>
      <w:r w:rsidRPr="007A11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A116A"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A116A" w:rsidRPr="007A116A" w:rsidRDefault="007A116A" w:rsidP="00A2789D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eastAsiaTheme="minorEastAsia" w:hAnsiTheme="minorHAnsi" w:cstheme="minorBidi"/>
        </w:rPr>
      </w:pPr>
      <w:proofErr w:type="spellStart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>Ndërgjegjësimi</w:t>
      </w:r>
      <w:proofErr w:type="spellEnd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>dhe</w:t>
      </w:r>
      <w:proofErr w:type="spellEnd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>rritja</w:t>
      </w:r>
      <w:proofErr w:type="spellEnd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>kapaciteteve</w:t>
      </w:r>
      <w:proofErr w:type="spellEnd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>të</w:t>
      </w:r>
      <w:proofErr w:type="spellEnd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>Administratorëve</w:t>
      </w:r>
      <w:proofErr w:type="spellEnd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>të</w:t>
      </w:r>
      <w:proofErr w:type="spellEnd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eastAsiaTheme="minorHAnsi" w:hAnsi="Times New Roman"/>
          <w:color w:val="000000" w:themeColor="text1"/>
          <w:sz w:val="24"/>
          <w:szCs w:val="24"/>
        </w:rPr>
        <w:t>Falimentimit</w:t>
      </w:r>
      <w:proofErr w:type="spellEnd"/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;</w:t>
      </w:r>
    </w:p>
    <w:p w:rsidR="007A116A" w:rsidRPr="007A116A" w:rsidRDefault="007A116A" w:rsidP="00A2789D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eastAsiaTheme="minorEastAsia" w:hAnsiTheme="minorHAnsi" w:cstheme="minorBidi"/>
        </w:rPr>
      </w:pPr>
      <w:proofErr w:type="spellStart"/>
      <w:r w:rsidRPr="007A116A">
        <w:rPr>
          <w:rFonts w:ascii="Times New Roman" w:hAnsi="Times New Roman"/>
          <w:color w:val="000000" w:themeColor="text1"/>
          <w:sz w:val="24"/>
          <w:szCs w:val="24"/>
        </w:rPr>
        <w:t>Shndërrimi</w:t>
      </w:r>
      <w:proofErr w:type="spellEnd"/>
      <w:r w:rsidRPr="007A116A">
        <w:rPr>
          <w:rFonts w:ascii="Times New Roman" w:hAnsi="Times New Roman"/>
          <w:color w:val="000000" w:themeColor="text1"/>
          <w:sz w:val="24"/>
          <w:szCs w:val="24"/>
        </w:rPr>
        <w:t xml:space="preserve"> AKF </w:t>
      </w:r>
      <w:proofErr w:type="spellStart"/>
      <w:r w:rsidRPr="007A116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7A11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color w:val="000000" w:themeColor="text1"/>
          <w:sz w:val="24"/>
          <w:szCs w:val="24"/>
        </w:rPr>
        <w:t>institucionin</w:t>
      </w:r>
      <w:proofErr w:type="spellEnd"/>
      <w:r w:rsidRPr="007A11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color w:val="000000" w:themeColor="text1"/>
          <w:sz w:val="24"/>
          <w:szCs w:val="24"/>
        </w:rPr>
        <w:t>kryesor</w:t>
      </w:r>
      <w:proofErr w:type="spellEnd"/>
      <w:r w:rsidRPr="007A11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7A11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color w:val="000000" w:themeColor="text1"/>
          <w:sz w:val="24"/>
          <w:szCs w:val="24"/>
        </w:rPr>
        <w:t>informacionit</w:t>
      </w:r>
      <w:proofErr w:type="spellEnd"/>
      <w:r w:rsidRPr="007A11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color w:val="000000" w:themeColor="text1"/>
          <w:sz w:val="24"/>
          <w:szCs w:val="24"/>
        </w:rPr>
        <w:t>mbi</w:t>
      </w:r>
      <w:proofErr w:type="spellEnd"/>
      <w:r w:rsidRPr="007A11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color w:val="000000" w:themeColor="text1"/>
          <w:sz w:val="24"/>
          <w:szCs w:val="24"/>
        </w:rPr>
        <w:t>çështjet</w:t>
      </w:r>
      <w:proofErr w:type="spellEnd"/>
      <w:r w:rsidRPr="007A116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7A116A">
        <w:rPr>
          <w:rFonts w:ascii="Times New Roman" w:hAnsi="Times New Roman"/>
          <w:color w:val="000000" w:themeColor="text1"/>
          <w:sz w:val="24"/>
          <w:szCs w:val="24"/>
        </w:rPr>
        <w:t>falimentimit</w:t>
      </w:r>
      <w:proofErr w:type="spellEnd"/>
      <w:r w:rsidRPr="007A11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7A11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A116A">
        <w:rPr>
          <w:rFonts w:ascii="Times New Roman" w:hAnsi="Times New Roman"/>
          <w:color w:val="000000" w:themeColor="text1"/>
          <w:sz w:val="24"/>
          <w:szCs w:val="24"/>
        </w:rPr>
        <w:t>Shqipëri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A116A" w:rsidRDefault="007A116A" w:rsidP="00A278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A116A" w:rsidRDefault="0033366C" w:rsidP="00A278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  <w:r w:rsidRPr="007A116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Veprimtaria e Agjencisë Kombëtare të Falimentimit për </w:t>
      </w:r>
      <w:r w:rsidR="00EA6EF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vitin 2021</w:t>
      </w:r>
    </w:p>
    <w:p w:rsidR="00307A34" w:rsidRPr="007A116A" w:rsidRDefault="00307A34" w:rsidP="00A27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33366C" w:rsidRPr="007A0DEB" w:rsidRDefault="0033366C" w:rsidP="00A2789D">
      <w:pPr>
        <w:pStyle w:val="ListParagraph"/>
        <w:numPr>
          <w:ilvl w:val="0"/>
          <w:numId w:val="1"/>
        </w:numPr>
        <w:spacing w:after="0"/>
        <w:jc w:val="both"/>
        <w:outlineLvl w:val="0"/>
        <w:rPr>
          <w:rFonts w:ascii="Times New Roman" w:eastAsia="Times New Roman" w:hAnsi="Times New Roman"/>
          <w:b/>
          <w:color w:val="C00000"/>
          <w:sz w:val="24"/>
          <w:szCs w:val="24"/>
          <w:lang w:val="sq-AL"/>
        </w:rPr>
      </w:pPr>
      <w:r w:rsidRPr="007A0DEB">
        <w:rPr>
          <w:rFonts w:ascii="Times New Roman" w:eastAsia="Times New Roman" w:hAnsi="Times New Roman"/>
          <w:b/>
          <w:color w:val="C00000"/>
          <w:sz w:val="24"/>
          <w:szCs w:val="24"/>
          <w:lang w:val="sq-AL"/>
        </w:rPr>
        <w:t>Kuadri ligjor</w:t>
      </w:r>
    </w:p>
    <w:p w:rsidR="0033366C" w:rsidRDefault="0033366C" w:rsidP="00A278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41C38" w:rsidRDefault="00841C38" w:rsidP="00A2789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Agjencia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</w:t>
      </w:r>
      <w:r w:rsidR="002C5BD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tare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Falimentimit</w:t>
      </w:r>
      <w:proofErr w:type="spellEnd"/>
      <w:r w:rsidR="00D70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0ECE">
        <w:rPr>
          <w:rFonts w:ascii="Times New Roman" w:hAnsi="Times New Roman"/>
          <w:sz w:val="24"/>
          <w:szCs w:val="24"/>
        </w:rPr>
        <w:t>ushtro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veprimtarin</w:t>
      </w:r>
      <w:r w:rsidR="002C5BD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2C5BD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funksion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2C5BD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110, </w:t>
      </w:r>
      <w:proofErr w:type="spellStart"/>
      <w:r>
        <w:rPr>
          <w:rFonts w:ascii="Times New Roman" w:hAnsi="Times New Roman"/>
          <w:sz w:val="24"/>
          <w:szCs w:val="24"/>
        </w:rPr>
        <w:t>dat</w:t>
      </w:r>
      <w:r w:rsidR="002C5BD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27.10.2016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2C5BD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falimentimit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41C38">
        <w:rPr>
          <w:rFonts w:ascii="Times New Roman" w:hAnsi="Times New Roman" w:cs="Times New Roman"/>
          <w:sz w:val="24"/>
          <w:szCs w:val="24"/>
        </w:rPr>
        <w:t>VKM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2C5B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41C38">
        <w:rPr>
          <w:rFonts w:ascii="Times New Roman" w:hAnsi="Times New Roman" w:cs="Times New Roman"/>
          <w:sz w:val="24"/>
          <w:szCs w:val="24"/>
        </w:rPr>
        <w:t xml:space="preserve"> nr.542, </w:t>
      </w:r>
      <w:proofErr w:type="spellStart"/>
      <w:r w:rsidRPr="00841C3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41C38">
        <w:rPr>
          <w:rFonts w:ascii="Times New Roman" w:hAnsi="Times New Roman" w:cs="Times New Roman"/>
          <w:sz w:val="24"/>
          <w:szCs w:val="24"/>
        </w:rPr>
        <w:t xml:space="preserve"> 19.09.201</w:t>
      </w:r>
      <w:r>
        <w:rPr>
          <w:rFonts w:ascii="Times New Roman" w:hAnsi="Times New Roman" w:cs="Times New Roman"/>
          <w:sz w:val="24"/>
          <w:szCs w:val="24"/>
        </w:rPr>
        <w:t>8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</w:t>
      </w:r>
      <w:r w:rsidRPr="00841C38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841C3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41C38">
        <w:rPr>
          <w:rFonts w:ascii="Times New Roman" w:hAnsi="Times New Roman" w:cs="Times New Roman"/>
          <w:sz w:val="24"/>
          <w:szCs w:val="24"/>
        </w:rPr>
        <w:t>Agjencisë</w:t>
      </w:r>
      <w:proofErr w:type="spellEnd"/>
      <w:r w:rsidRPr="0084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C38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84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C3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4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C38"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 w:rsidRPr="00841C3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415F" w:rsidRDefault="006A415F" w:rsidP="00A278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1C38" w:rsidRDefault="00841C38" w:rsidP="00A2789D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  <w:proofErr w:type="spellStart"/>
      <w:proofErr w:type="gramStart"/>
      <w:r w:rsidRPr="00210F57">
        <w:rPr>
          <w:rFonts w:ascii="Times New Roman" w:hAnsi="Times New Roman"/>
          <w:sz w:val="24"/>
          <w:szCs w:val="24"/>
        </w:rPr>
        <w:t>Në</w:t>
      </w:r>
      <w:proofErr w:type="spellEnd"/>
      <w:r w:rsidRPr="00210F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F57">
        <w:rPr>
          <w:rFonts w:ascii="Times New Roman" w:hAnsi="Times New Roman"/>
          <w:sz w:val="24"/>
          <w:szCs w:val="24"/>
        </w:rPr>
        <w:t>zbatim</w:t>
      </w:r>
      <w:proofErr w:type="spellEnd"/>
      <w:r w:rsidRPr="00210F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F57">
        <w:rPr>
          <w:rFonts w:ascii="Times New Roman" w:hAnsi="Times New Roman"/>
          <w:sz w:val="24"/>
          <w:szCs w:val="24"/>
        </w:rPr>
        <w:t>të</w:t>
      </w:r>
      <w:proofErr w:type="spellEnd"/>
      <w:r w:rsidRPr="00210F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F57">
        <w:rPr>
          <w:rFonts w:ascii="Times New Roman" w:hAnsi="Times New Roman"/>
          <w:sz w:val="24"/>
          <w:szCs w:val="24"/>
        </w:rPr>
        <w:t>Ligjit</w:t>
      </w:r>
      <w:proofErr w:type="spellEnd"/>
      <w:r w:rsidRPr="00210F57">
        <w:rPr>
          <w:rFonts w:ascii="Times New Roman" w:hAnsi="Times New Roman"/>
          <w:sz w:val="24"/>
          <w:szCs w:val="24"/>
        </w:rPr>
        <w:t xml:space="preserve"> nr.110, </w:t>
      </w:r>
      <w:proofErr w:type="spellStart"/>
      <w:r w:rsidRPr="00210F57">
        <w:rPr>
          <w:rFonts w:ascii="Times New Roman" w:hAnsi="Times New Roman"/>
          <w:sz w:val="24"/>
          <w:szCs w:val="24"/>
        </w:rPr>
        <w:t>datë</w:t>
      </w:r>
      <w:proofErr w:type="spellEnd"/>
      <w:r w:rsidRPr="00210F57">
        <w:rPr>
          <w:rFonts w:ascii="Times New Roman" w:hAnsi="Times New Roman"/>
          <w:sz w:val="24"/>
          <w:szCs w:val="24"/>
        </w:rPr>
        <w:t xml:space="preserve"> 27.10.2016 </w:t>
      </w:r>
      <w:proofErr w:type="spellStart"/>
      <w:r w:rsidR="00E56441">
        <w:rPr>
          <w:rFonts w:ascii="Times New Roman" w:hAnsi="Times New Roman"/>
          <w:sz w:val="24"/>
          <w:szCs w:val="24"/>
        </w:rPr>
        <w:t>ësht</w:t>
      </w:r>
      <w:r w:rsidR="002C5BDC">
        <w:rPr>
          <w:rFonts w:ascii="Times New Roman" w:hAnsi="Times New Roman"/>
          <w:sz w:val="24"/>
          <w:szCs w:val="24"/>
        </w:rPr>
        <w:t>ë</w:t>
      </w:r>
      <w:proofErr w:type="spellEnd"/>
      <w:r w:rsidR="003A3D17" w:rsidRPr="00210F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3D17" w:rsidRPr="00210F57">
        <w:rPr>
          <w:rFonts w:ascii="Times New Roman" w:hAnsi="Times New Roman"/>
          <w:sz w:val="24"/>
          <w:szCs w:val="24"/>
        </w:rPr>
        <w:t>miratuar</w:t>
      </w:r>
      <w:proofErr w:type="spellEnd"/>
      <w:r w:rsidR="00210F57" w:rsidRPr="00210F57">
        <w:rPr>
          <w:rFonts w:ascii="Times New Roman" w:hAnsi="Times New Roman"/>
          <w:sz w:val="24"/>
          <w:szCs w:val="24"/>
        </w:rPr>
        <w:t xml:space="preserve"> </w:t>
      </w:r>
      <w:r w:rsidR="003A3D17" w:rsidRPr="00841C38">
        <w:rPr>
          <w:rFonts w:ascii="Times New Roman" w:hAnsi="Times New Roman"/>
          <w:b/>
          <w:i/>
          <w:sz w:val="24"/>
          <w:szCs w:val="24"/>
          <w:lang w:val="sq-AL"/>
        </w:rPr>
        <w:t>VKM nr.</w:t>
      </w:r>
      <w:proofErr w:type="gramEnd"/>
      <w:r w:rsidR="003A3D17" w:rsidRPr="00841C38">
        <w:rPr>
          <w:rFonts w:ascii="Times New Roman" w:hAnsi="Times New Roman"/>
          <w:b/>
          <w:i/>
          <w:sz w:val="24"/>
          <w:szCs w:val="24"/>
          <w:lang w:val="sq-AL"/>
        </w:rPr>
        <w:t xml:space="preserve"> 65, datë 03.02.2021 </w:t>
      </w:r>
      <w:r w:rsidR="003A3D17" w:rsidRPr="00841C38">
        <w:rPr>
          <w:rFonts w:ascii="Times New Roman" w:hAnsi="Times New Roman"/>
          <w:i/>
          <w:sz w:val="24"/>
          <w:szCs w:val="24"/>
          <w:lang w:val="sq-AL"/>
        </w:rPr>
        <w:t>“Për marrëveshjet jashtëgjyqësore të riorganizimit të përshpejtuar”.</w:t>
      </w:r>
    </w:p>
    <w:p w:rsidR="00A2789D" w:rsidRDefault="00A2789D" w:rsidP="00A2789D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A2789D" w:rsidRDefault="00A2789D" w:rsidP="00A2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FC6">
        <w:rPr>
          <w:rFonts w:ascii="Times New Roman" w:hAnsi="Times New Roman" w:cs="Times New Roman"/>
          <w:sz w:val="24"/>
          <w:szCs w:val="24"/>
        </w:rPr>
        <w:lastRenderedPageBreak/>
        <w:t>Në</w:t>
      </w:r>
      <w:proofErr w:type="spellEnd"/>
      <w:r w:rsidRPr="0063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FC6">
        <w:rPr>
          <w:rFonts w:ascii="Times New Roman" w:hAnsi="Times New Roman" w:cs="Times New Roman"/>
          <w:sz w:val="24"/>
          <w:szCs w:val="24"/>
        </w:rPr>
        <w:t>vijim</w:t>
      </w:r>
      <w:proofErr w:type="spellEnd"/>
      <w:r w:rsidRPr="0063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FC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3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FC6">
        <w:rPr>
          <w:rFonts w:ascii="Times New Roman" w:hAnsi="Times New Roman" w:cs="Times New Roman"/>
          <w:sz w:val="24"/>
          <w:szCs w:val="24"/>
        </w:rPr>
        <w:t>përmbushjes</w:t>
      </w:r>
      <w:proofErr w:type="spellEnd"/>
      <w:r w:rsidRPr="0063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FC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3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FC6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63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FC6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63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FC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3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FC6">
        <w:rPr>
          <w:rFonts w:ascii="Times New Roman" w:hAnsi="Times New Roman" w:cs="Times New Roman"/>
          <w:sz w:val="24"/>
          <w:szCs w:val="24"/>
        </w:rPr>
        <w:t>Agje</w:t>
      </w:r>
      <w:r>
        <w:rPr>
          <w:rFonts w:ascii="Times New Roman" w:hAnsi="Times New Roman" w:cs="Times New Roman"/>
          <w:sz w:val="24"/>
          <w:szCs w:val="24"/>
        </w:rPr>
        <w:t>ncisë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7A0D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vijimit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marrëveshjes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nënshkruar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IFC (International Finance Corporation)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Zgjidhja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borxhit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dalja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” 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pritet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amendohen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posht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>:</w:t>
      </w:r>
    </w:p>
    <w:p w:rsidR="00A2789D" w:rsidRDefault="003A3D17" w:rsidP="00A2789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789D">
        <w:rPr>
          <w:rFonts w:ascii="Times New Roman" w:hAnsi="Times New Roman"/>
          <w:sz w:val="24"/>
          <w:szCs w:val="24"/>
        </w:rPr>
        <w:t>Rregullorja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A2789D">
        <w:rPr>
          <w:rFonts w:ascii="Times New Roman" w:hAnsi="Times New Roman"/>
          <w:sz w:val="24"/>
          <w:szCs w:val="24"/>
        </w:rPr>
        <w:t>Për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përcaktimin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89D">
        <w:rPr>
          <w:rFonts w:ascii="Times New Roman" w:hAnsi="Times New Roman"/>
          <w:sz w:val="24"/>
          <w:szCs w:val="24"/>
        </w:rPr>
        <w:t>rregullave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hollësishme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organizimit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dhe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funksionimit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brendshëm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Agjencisë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së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Mbikëqyrjes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së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Falimenti</w:t>
      </w:r>
      <w:r w:rsidR="00841C38" w:rsidRPr="00A2789D">
        <w:rPr>
          <w:rFonts w:ascii="Times New Roman" w:hAnsi="Times New Roman"/>
          <w:sz w:val="24"/>
          <w:szCs w:val="24"/>
        </w:rPr>
        <w:t>mi</w:t>
      </w:r>
      <w:r w:rsidRPr="00A2789D">
        <w:rPr>
          <w:rFonts w:ascii="Times New Roman" w:hAnsi="Times New Roman"/>
          <w:sz w:val="24"/>
          <w:szCs w:val="24"/>
        </w:rPr>
        <w:t>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A2789D">
        <w:rPr>
          <w:rFonts w:ascii="Times New Roman" w:hAnsi="Times New Roman"/>
          <w:sz w:val="24"/>
          <w:szCs w:val="24"/>
        </w:rPr>
        <w:t>miratuar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2789D">
        <w:rPr>
          <w:rFonts w:ascii="Times New Roman" w:hAnsi="Times New Roman"/>
          <w:sz w:val="24"/>
          <w:szCs w:val="24"/>
        </w:rPr>
        <w:t>Urdhrin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89D">
        <w:rPr>
          <w:rFonts w:ascii="Times New Roman" w:hAnsi="Times New Roman"/>
          <w:sz w:val="24"/>
          <w:szCs w:val="24"/>
        </w:rPr>
        <w:t>Ministrit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, nr. 4217/1, </w:t>
      </w:r>
      <w:proofErr w:type="spellStart"/>
      <w:r w:rsidRPr="00A2789D">
        <w:rPr>
          <w:rFonts w:ascii="Times New Roman" w:hAnsi="Times New Roman"/>
          <w:sz w:val="24"/>
          <w:szCs w:val="24"/>
        </w:rPr>
        <w:t>datë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25.06.2012;</w:t>
      </w:r>
    </w:p>
    <w:p w:rsidR="00A2789D" w:rsidRDefault="003A3D17" w:rsidP="00A2789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789D">
        <w:rPr>
          <w:rFonts w:ascii="Times New Roman" w:hAnsi="Times New Roman"/>
          <w:sz w:val="24"/>
          <w:szCs w:val="24"/>
        </w:rPr>
        <w:t>Rregullorja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A2789D">
        <w:rPr>
          <w:rFonts w:ascii="Times New Roman" w:hAnsi="Times New Roman"/>
          <w:sz w:val="24"/>
          <w:szCs w:val="24"/>
        </w:rPr>
        <w:t>Për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përcaktimin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89D">
        <w:rPr>
          <w:rFonts w:ascii="Times New Roman" w:hAnsi="Times New Roman"/>
          <w:sz w:val="24"/>
          <w:szCs w:val="24"/>
        </w:rPr>
        <w:t>rregullave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hollësishme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për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procedurat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dhe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afatet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89D">
        <w:rPr>
          <w:rFonts w:ascii="Times New Roman" w:hAnsi="Times New Roman"/>
          <w:sz w:val="24"/>
          <w:szCs w:val="24"/>
        </w:rPr>
        <w:t>organizimit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provimit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për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liçensimin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89D">
        <w:rPr>
          <w:rFonts w:ascii="Times New Roman" w:hAnsi="Times New Roman"/>
          <w:sz w:val="24"/>
          <w:szCs w:val="24"/>
        </w:rPr>
        <w:t>Administratorëve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Falimentit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A2789D">
        <w:rPr>
          <w:rFonts w:ascii="Times New Roman" w:hAnsi="Times New Roman"/>
          <w:sz w:val="24"/>
          <w:szCs w:val="24"/>
        </w:rPr>
        <w:t>miratuar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2789D">
        <w:rPr>
          <w:rFonts w:ascii="Times New Roman" w:hAnsi="Times New Roman"/>
          <w:sz w:val="24"/>
          <w:szCs w:val="24"/>
        </w:rPr>
        <w:t>Urdhrin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89D">
        <w:rPr>
          <w:rFonts w:ascii="Times New Roman" w:hAnsi="Times New Roman"/>
          <w:sz w:val="24"/>
          <w:szCs w:val="24"/>
        </w:rPr>
        <w:t>Ministrit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, nr. 4217/2, </w:t>
      </w:r>
      <w:proofErr w:type="spellStart"/>
      <w:r w:rsidRPr="00A2789D">
        <w:rPr>
          <w:rFonts w:ascii="Times New Roman" w:hAnsi="Times New Roman"/>
          <w:sz w:val="24"/>
          <w:szCs w:val="24"/>
        </w:rPr>
        <w:t>datë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28.05.2012</w:t>
      </w:r>
      <w:r w:rsidR="00A2789D">
        <w:rPr>
          <w:rFonts w:ascii="Times New Roman" w:hAnsi="Times New Roman"/>
          <w:sz w:val="24"/>
          <w:szCs w:val="24"/>
        </w:rPr>
        <w:t>;</w:t>
      </w:r>
    </w:p>
    <w:p w:rsidR="003A3D17" w:rsidRDefault="003A3D17" w:rsidP="00A2789D">
      <w:pPr>
        <w:pStyle w:val="ListParagraph"/>
        <w:numPr>
          <w:ilvl w:val="0"/>
          <w:numId w:val="7"/>
        </w:numPr>
        <w:spacing w:after="0"/>
        <w:jc w:val="both"/>
        <w:rPr>
          <w:rStyle w:val="normalchar"/>
          <w:rFonts w:ascii="Times New Roman" w:hAnsi="Times New Roman"/>
          <w:sz w:val="24"/>
          <w:szCs w:val="24"/>
        </w:rPr>
      </w:pPr>
      <w:proofErr w:type="spellStart"/>
      <w:r w:rsidRPr="00A2789D">
        <w:rPr>
          <w:rFonts w:ascii="Times New Roman" w:hAnsi="Times New Roman"/>
          <w:sz w:val="24"/>
          <w:szCs w:val="24"/>
        </w:rPr>
        <w:t>Rregullorja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A2789D">
        <w:rPr>
          <w:rFonts w:ascii="Times New Roman" w:hAnsi="Times New Roman"/>
          <w:sz w:val="24"/>
          <w:szCs w:val="24"/>
        </w:rPr>
        <w:t>Për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përcaktimin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89D">
        <w:rPr>
          <w:rFonts w:ascii="Times New Roman" w:hAnsi="Times New Roman"/>
          <w:sz w:val="24"/>
          <w:szCs w:val="24"/>
        </w:rPr>
        <w:t>rregullave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hollësishme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për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procedurat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89D">
        <w:rPr>
          <w:rFonts w:ascii="Times New Roman" w:hAnsi="Times New Roman"/>
          <w:sz w:val="24"/>
          <w:szCs w:val="24"/>
        </w:rPr>
        <w:t>mbikëqyrjes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dhe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kontrollit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administratorëve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falimentimit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A2789D">
        <w:rPr>
          <w:rFonts w:ascii="Times New Roman" w:hAnsi="Times New Roman"/>
          <w:sz w:val="24"/>
          <w:szCs w:val="24"/>
        </w:rPr>
        <w:t>miratuar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më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Urdhrin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89D">
        <w:rPr>
          <w:rFonts w:ascii="Times New Roman" w:hAnsi="Times New Roman"/>
          <w:sz w:val="24"/>
          <w:szCs w:val="24"/>
        </w:rPr>
        <w:t>Ministrit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të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89D">
        <w:rPr>
          <w:rFonts w:ascii="Times New Roman" w:hAnsi="Times New Roman"/>
          <w:sz w:val="24"/>
          <w:szCs w:val="24"/>
        </w:rPr>
        <w:t>Drejtësisë</w:t>
      </w:r>
      <w:proofErr w:type="spellEnd"/>
      <w:r w:rsidRPr="00A2789D">
        <w:rPr>
          <w:rFonts w:ascii="Times New Roman" w:hAnsi="Times New Roman"/>
          <w:sz w:val="24"/>
          <w:szCs w:val="24"/>
        </w:rPr>
        <w:t xml:space="preserve"> nr.</w:t>
      </w:r>
      <w:r w:rsidRPr="00A2789D">
        <w:rPr>
          <w:rStyle w:val="normalchar"/>
          <w:rFonts w:ascii="Times New Roman" w:hAnsi="Times New Roman"/>
          <w:sz w:val="24"/>
          <w:szCs w:val="24"/>
        </w:rPr>
        <w:t xml:space="preserve">26, </w:t>
      </w:r>
      <w:proofErr w:type="spellStart"/>
      <w:r w:rsidRPr="00A2789D">
        <w:rPr>
          <w:rStyle w:val="normalchar"/>
          <w:rFonts w:ascii="Times New Roman" w:hAnsi="Times New Roman"/>
          <w:sz w:val="24"/>
          <w:szCs w:val="24"/>
        </w:rPr>
        <w:t>datë</w:t>
      </w:r>
      <w:proofErr w:type="spellEnd"/>
      <w:r w:rsidRPr="00A2789D">
        <w:rPr>
          <w:rStyle w:val="normalchar"/>
          <w:rFonts w:ascii="Times New Roman" w:hAnsi="Times New Roman"/>
          <w:sz w:val="24"/>
          <w:szCs w:val="24"/>
        </w:rPr>
        <w:t xml:space="preserve"> 14.01.2014.</w:t>
      </w:r>
    </w:p>
    <w:p w:rsidR="00307A34" w:rsidRDefault="00307A34" w:rsidP="00307A34">
      <w:pPr>
        <w:spacing w:after="0"/>
        <w:jc w:val="both"/>
        <w:rPr>
          <w:rStyle w:val="normalchar"/>
          <w:rFonts w:ascii="Times New Roman" w:hAnsi="Times New Roman"/>
          <w:sz w:val="24"/>
          <w:szCs w:val="24"/>
        </w:rPr>
      </w:pPr>
    </w:p>
    <w:p w:rsidR="00307A34" w:rsidRDefault="00260002" w:rsidP="00307A34">
      <w:pPr>
        <w:spacing w:after="0"/>
        <w:jc w:val="both"/>
        <w:rPr>
          <w:rStyle w:val="normalchar"/>
          <w:rFonts w:ascii="Times New Roman" w:hAnsi="Times New Roman"/>
          <w:sz w:val="24"/>
          <w:szCs w:val="24"/>
        </w:rPr>
      </w:pPr>
      <w:proofErr w:type="spellStart"/>
      <w:r>
        <w:rPr>
          <w:rStyle w:val="normalchar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mbështetje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Ligjit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nr.110/2016 “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Për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falimentimin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Vendimit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nr.516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datë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01.07.2020,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Këshillit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Ministrave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Për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disa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ndryshime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dhe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shtesa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vendimin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nr.247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datë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20.03.2015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Këshillit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Ministrave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Për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miratimin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Strategjisë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Ndërsektoriale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kundër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Korrupsionit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për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periudhën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2015-2020”,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dhe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miratimin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Planit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Veprimit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2020-2023,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zbatim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Strategjisë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Ndërsektoriale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kundër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Korrupsionit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2015-2023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dhe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Pasaportës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Indikatorëve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janë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miratuar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urdhrat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si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më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poshtë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>:</w:t>
      </w:r>
    </w:p>
    <w:p w:rsidR="00307A34" w:rsidRPr="00307A34" w:rsidRDefault="00307A34" w:rsidP="00307A34">
      <w:pPr>
        <w:pStyle w:val="ListParagraph"/>
        <w:numPr>
          <w:ilvl w:val="0"/>
          <w:numId w:val="7"/>
        </w:numPr>
        <w:spacing w:after="0"/>
        <w:jc w:val="both"/>
        <w:rPr>
          <w:rStyle w:val="normalchar"/>
          <w:rFonts w:ascii="Times New Roman" w:hAnsi="Times New Roman"/>
          <w:sz w:val="24"/>
          <w:szCs w:val="24"/>
        </w:rPr>
      </w:pP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Urdhër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nr.1,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datë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04.06.2021 “</w:t>
      </w:r>
      <w:proofErr w:type="spellStart"/>
      <w:r w:rsidR="00881A89">
        <w:rPr>
          <w:rStyle w:val="normalchar"/>
          <w:rFonts w:ascii="Times New Roman" w:hAnsi="Times New Roman"/>
          <w:sz w:val="24"/>
          <w:szCs w:val="24"/>
        </w:rPr>
        <w:t>Për</w:t>
      </w:r>
      <w:proofErr w:type="spellEnd"/>
      <w:r w:rsidR="00881A89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="00881A89">
        <w:rPr>
          <w:rStyle w:val="normalchar"/>
          <w:rFonts w:ascii="Times New Roman" w:hAnsi="Times New Roman"/>
          <w:sz w:val="24"/>
          <w:szCs w:val="24"/>
        </w:rPr>
        <w:t>N</w:t>
      </w:r>
      <w:r w:rsidRPr="00307A34">
        <w:rPr>
          <w:rStyle w:val="normalchar"/>
          <w:rFonts w:ascii="Times New Roman" w:hAnsi="Times New Roman"/>
          <w:sz w:val="24"/>
          <w:szCs w:val="24"/>
        </w:rPr>
        <w:t>gritjen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e </w:t>
      </w:r>
      <w:proofErr w:type="spellStart"/>
      <w:r w:rsidR="00881A89">
        <w:rPr>
          <w:rStyle w:val="normalchar"/>
          <w:rFonts w:ascii="Times New Roman" w:hAnsi="Times New Roman"/>
          <w:sz w:val="24"/>
          <w:szCs w:val="24"/>
        </w:rPr>
        <w:t>G</w:t>
      </w:r>
      <w:r w:rsidRPr="00307A34">
        <w:rPr>
          <w:rStyle w:val="normalchar"/>
          <w:rFonts w:ascii="Times New Roman" w:hAnsi="Times New Roman"/>
          <w:sz w:val="24"/>
          <w:szCs w:val="24"/>
        </w:rPr>
        <w:t>rupit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="00881A89">
        <w:rPr>
          <w:rStyle w:val="normalchar"/>
          <w:rFonts w:ascii="Times New Roman" w:hAnsi="Times New Roman"/>
          <w:sz w:val="24"/>
          <w:szCs w:val="24"/>
        </w:rPr>
        <w:t>P</w:t>
      </w:r>
      <w:r w:rsidRPr="00307A34">
        <w:rPr>
          <w:rStyle w:val="normalchar"/>
          <w:rFonts w:ascii="Times New Roman" w:hAnsi="Times New Roman"/>
          <w:sz w:val="24"/>
          <w:szCs w:val="24"/>
        </w:rPr>
        <w:t>unës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për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="00881A89">
        <w:rPr>
          <w:rStyle w:val="normalchar"/>
          <w:rFonts w:ascii="Times New Roman" w:hAnsi="Times New Roman"/>
          <w:sz w:val="24"/>
          <w:szCs w:val="24"/>
        </w:rPr>
        <w:t>H</w:t>
      </w:r>
      <w:r w:rsidRPr="00307A34">
        <w:rPr>
          <w:rStyle w:val="normalchar"/>
          <w:rFonts w:ascii="Times New Roman" w:hAnsi="Times New Roman"/>
          <w:sz w:val="24"/>
          <w:szCs w:val="24"/>
        </w:rPr>
        <w:t>artimin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e </w:t>
      </w:r>
      <w:proofErr w:type="spellStart"/>
      <w:r w:rsidR="00881A89">
        <w:rPr>
          <w:rStyle w:val="normalchar"/>
          <w:rFonts w:ascii="Times New Roman" w:hAnsi="Times New Roman"/>
          <w:sz w:val="24"/>
          <w:szCs w:val="24"/>
        </w:rPr>
        <w:t>P</w:t>
      </w:r>
      <w:r w:rsidRPr="00307A34">
        <w:rPr>
          <w:rStyle w:val="normalchar"/>
          <w:rFonts w:ascii="Times New Roman" w:hAnsi="Times New Roman"/>
          <w:sz w:val="24"/>
          <w:szCs w:val="24"/>
        </w:rPr>
        <w:t>lanit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="00881A89">
        <w:rPr>
          <w:rStyle w:val="normalchar"/>
          <w:rFonts w:ascii="Times New Roman" w:hAnsi="Times New Roman"/>
          <w:sz w:val="24"/>
          <w:szCs w:val="24"/>
        </w:rPr>
        <w:t>I</w:t>
      </w:r>
      <w:r w:rsidRPr="00307A34">
        <w:rPr>
          <w:rStyle w:val="normalchar"/>
          <w:rFonts w:ascii="Times New Roman" w:hAnsi="Times New Roman"/>
          <w:sz w:val="24"/>
          <w:szCs w:val="24"/>
        </w:rPr>
        <w:t>ntegritetit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Agjencisë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Kombëtare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Falimentimit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>”.</w:t>
      </w:r>
    </w:p>
    <w:p w:rsidR="00307A34" w:rsidRDefault="00307A34" w:rsidP="00307A34">
      <w:pPr>
        <w:pStyle w:val="ListParagraph"/>
        <w:numPr>
          <w:ilvl w:val="0"/>
          <w:numId w:val="7"/>
        </w:numPr>
        <w:spacing w:after="0"/>
        <w:jc w:val="both"/>
        <w:rPr>
          <w:rStyle w:val="normalchar"/>
          <w:rFonts w:ascii="Times New Roman" w:hAnsi="Times New Roman"/>
          <w:sz w:val="24"/>
          <w:szCs w:val="24"/>
        </w:rPr>
      </w:pP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Urdhër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nr.2,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datë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31.12.2021 “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Për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="00881A89">
        <w:rPr>
          <w:rStyle w:val="normalchar"/>
          <w:rFonts w:ascii="Times New Roman" w:hAnsi="Times New Roman"/>
          <w:sz w:val="24"/>
          <w:szCs w:val="24"/>
        </w:rPr>
        <w:t>M</w:t>
      </w:r>
      <w:r w:rsidRPr="00307A34">
        <w:rPr>
          <w:rStyle w:val="normalchar"/>
          <w:rFonts w:ascii="Times New Roman" w:hAnsi="Times New Roman"/>
          <w:sz w:val="24"/>
          <w:szCs w:val="24"/>
        </w:rPr>
        <w:t>iratimin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e </w:t>
      </w:r>
      <w:proofErr w:type="spellStart"/>
      <w:r w:rsidR="00881A89">
        <w:rPr>
          <w:rStyle w:val="normalchar"/>
          <w:rFonts w:ascii="Times New Roman" w:hAnsi="Times New Roman"/>
          <w:sz w:val="24"/>
          <w:szCs w:val="24"/>
        </w:rPr>
        <w:t>P</w:t>
      </w:r>
      <w:r w:rsidRPr="00307A34">
        <w:rPr>
          <w:rStyle w:val="normalchar"/>
          <w:rFonts w:ascii="Times New Roman" w:hAnsi="Times New Roman"/>
          <w:sz w:val="24"/>
          <w:szCs w:val="24"/>
        </w:rPr>
        <w:t>lanit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="00881A89">
        <w:rPr>
          <w:rStyle w:val="normalchar"/>
          <w:rFonts w:ascii="Times New Roman" w:hAnsi="Times New Roman"/>
          <w:sz w:val="24"/>
          <w:szCs w:val="24"/>
        </w:rPr>
        <w:t>I</w:t>
      </w:r>
      <w:r w:rsidRPr="00307A34">
        <w:rPr>
          <w:rStyle w:val="normalchar"/>
          <w:rFonts w:ascii="Times New Roman" w:hAnsi="Times New Roman"/>
          <w:sz w:val="24"/>
          <w:szCs w:val="24"/>
        </w:rPr>
        <w:t>ntegritetit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për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Agjencinë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Kombëtare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 w:rsidRPr="00307A34"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 w:rsidRPr="00307A34">
        <w:rPr>
          <w:rStyle w:val="normalchar"/>
          <w:rFonts w:ascii="Times New Roman" w:hAnsi="Times New Roman"/>
          <w:sz w:val="24"/>
          <w:szCs w:val="24"/>
        </w:rPr>
        <w:t>Falimenti</w:t>
      </w:r>
      <w:r w:rsidR="00DF7337">
        <w:rPr>
          <w:rStyle w:val="normalchar"/>
          <w:rFonts w:ascii="Times New Roman" w:hAnsi="Times New Roman"/>
          <w:sz w:val="24"/>
          <w:szCs w:val="24"/>
        </w:rPr>
        <w:t>mit</w:t>
      </w:r>
      <w:proofErr w:type="spellEnd"/>
      <w:r w:rsidR="00DF7337">
        <w:rPr>
          <w:rStyle w:val="normalchar"/>
          <w:rFonts w:ascii="Times New Roman" w:hAnsi="Times New Roman"/>
          <w:sz w:val="24"/>
          <w:szCs w:val="24"/>
        </w:rPr>
        <w:t xml:space="preserve"> 2022-2024</w:t>
      </w:r>
      <w:r w:rsidRPr="00307A34">
        <w:rPr>
          <w:rStyle w:val="normalchar"/>
          <w:rFonts w:ascii="Times New Roman" w:hAnsi="Times New Roman"/>
          <w:sz w:val="24"/>
          <w:szCs w:val="24"/>
        </w:rPr>
        <w:t>”</w:t>
      </w:r>
      <w:r w:rsidR="00084C7D">
        <w:rPr>
          <w:rStyle w:val="normalchar"/>
          <w:rFonts w:ascii="Times New Roman" w:hAnsi="Times New Roman"/>
          <w:sz w:val="24"/>
          <w:szCs w:val="24"/>
        </w:rPr>
        <w:t>.</w:t>
      </w:r>
    </w:p>
    <w:p w:rsidR="00E4613B" w:rsidRPr="00E4613B" w:rsidRDefault="00E4613B" w:rsidP="00E4613B">
      <w:pPr>
        <w:spacing w:after="0"/>
        <w:jc w:val="both"/>
        <w:rPr>
          <w:rStyle w:val="normalchar"/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Style w:val="normalchar"/>
          <w:rFonts w:ascii="Times New Roman" w:hAnsi="Times New Roman"/>
          <w:sz w:val="24"/>
          <w:szCs w:val="24"/>
        </w:rPr>
        <w:t>Ky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Plan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Integriteti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përfshin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risqet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integritetit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sipas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fushave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funksionale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AKF-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dhe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aktivitetet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konkrete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për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adresimin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tyre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>.</w:t>
      </w:r>
      <w:proofErr w:type="gram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Style w:val="normalchar"/>
          <w:rFonts w:ascii="Times New Roman" w:hAnsi="Times New Roman"/>
          <w:sz w:val="24"/>
          <w:szCs w:val="24"/>
        </w:rPr>
        <w:t>Qëllimi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tij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është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përmirësimi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politikave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rregullave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praktikave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parandalimit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korrupsionit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si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dhe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forcimi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r w:rsidR="00A9517D">
        <w:rPr>
          <w:rStyle w:val="normalchar"/>
          <w:rFonts w:ascii="Times New Roman" w:hAnsi="Times New Roman"/>
          <w:sz w:val="24"/>
          <w:szCs w:val="24"/>
        </w:rPr>
        <w:t>i</w:t>
      </w:r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rezistencës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institucionale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ndaj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shkeljeve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integritetit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>.</w:t>
      </w:r>
      <w:proofErr w:type="gram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Plani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r w:rsidR="00FB5327">
        <w:rPr>
          <w:rStyle w:val="normalchar"/>
          <w:rFonts w:ascii="Times New Roman" w:hAnsi="Times New Roman"/>
          <w:sz w:val="24"/>
          <w:szCs w:val="24"/>
        </w:rPr>
        <w:t>i</w:t>
      </w:r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Integritetit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për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institucionin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tonë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ndikojë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pozitivisht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rritjen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cilësisë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punës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institucionit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dhe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ofrimit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shërbimit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për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rmalchar"/>
          <w:rFonts w:ascii="Times New Roman" w:hAnsi="Times New Roman"/>
          <w:sz w:val="24"/>
          <w:szCs w:val="24"/>
        </w:rPr>
        <w:t>qytetarët</w:t>
      </w:r>
      <w:proofErr w:type="spellEnd"/>
      <w:r>
        <w:rPr>
          <w:rStyle w:val="normalchar"/>
          <w:rFonts w:ascii="Times New Roman" w:hAnsi="Times New Roman"/>
          <w:sz w:val="24"/>
          <w:szCs w:val="24"/>
        </w:rPr>
        <w:t xml:space="preserve">.  </w:t>
      </w:r>
    </w:p>
    <w:p w:rsidR="00DF7337" w:rsidRPr="00307A34" w:rsidRDefault="00DF7337" w:rsidP="00812607">
      <w:pPr>
        <w:pStyle w:val="ListParagraph"/>
        <w:spacing w:after="0"/>
        <w:ind w:left="420"/>
        <w:jc w:val="both"/>
        <w:rPr>
          <w:rStyle w:val="normalchar"/>
          <w:rFonts w:ascii="Times New Roman" w:hAnsi="Times New Roman"/>
          <w:sz w:val="24"/>
          <w:szCs w:val="24"/>
        </w:rPr>
      </w:pPr>
    </w:p>
    <w:p w:rsidR="0033366C" w:rsidRPr="007A0DEB" w:rsidRDefault="0033366C" w:rsidP="007A0D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366C" w:rsidRDefault="0033366C" w:rsidP="007A0DE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7A0DEB">
        <w:rPr>
          <w:rFonts w:ascii="Times New Roman" w:hAnsi="Times New Roman"/>
          <w:b/>
          <w:color w:val="C00000"/>
          <w:sz w:val="24"/>
          <w:szCs w:val="24"/>
        </w:rPr>
        <w:t>Rinovimi</w:t>
      </w:r>
      <w:proofErr w:type="spellEnd"/>
      <w:r w:rsidRPr="007A0DEB">
        <w:rPr>
          <w:rFonts w:ascii="Times New Roman" w:hAnsi="Times New Roman"/>
          <w:b/>
          <w:color w:val="C00000"/>
          <w:sz w:val="24"/>
          <w:szCs w:val="24"/>
        </w:rPr>
        <w:t xml:space="preserve"> i </w:t>
      </w:r>
      <w:proofErr w:type="spellStart"/>
      <w:r w:rsidRPr="007A0DEB">
        <w:rPr>
          <w:rFonts w:ascii="Times New Roman" w:hAnsi="Times New Roman"/>
          <w:b/>
          <w:color w:val="C00000"/>
          <w:sz w:val="24"/>
          <w:szCs w:val="24"/>
        </w:rPr>
        <w:t>Licencave</w:t>
      </w:r>
      <w:proofErr w:type="spellEnd"/>
    </w:p>
    <w:p w:rsidR="007C7593" w:rsidRPr="007A0DEB" w:rsidRDefault="007C7593" w:rsidP="007C7593">
      <w:pPr>
        <w:pStyle w:val="ListParagraph"/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3366C" w:rsidRPr="00E42D26" w:rsidRDefault="00653ABF" w:rsidP="00A2789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datat</w:t>
      </w:r>
      <w:r w:rsidR="0033366C" w:rsidRPr="007A0DEB">
        <w:rPr>
          <w:rFonts w:ascii="Times New Roman" w:hAnsi="Times New Roman" w:cs="Times New Roman"/>
          <w:sz w:val="24"/>
          <w:szCs w:val="24"/>
          <w:lang w:val="sq-AL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sq-AL"/>
        </w:rPr>
        <w:t>9</w:t>
      </w:r>
      <w:r w:rsidR="0033366C" w:rsidRPr="007A0DEB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>05</w:t>
      </w:r>
      <w:r w:rsidR="0033366C" w:rsidRPr="007A0DEB">
        <w:rPr>
          <w:rFonts w:ascii="Times New Roman" w:hAnsi="Times New Roman" w:cs="Times New Roman"/>
          <w:sz w:val="24"/>
          <w:szCs w:val="24"/>
          <w:lang w:val="sq-AL"/>
        </w:rPr>
        <w:t>.202</w:t>
      </w:r>
      <w:r>
        <w:rPr>
          <w:rFonts w:ascii="Times New Roman" w:hAnsi="Times New Roman" w:cs="Times New Roman"/>
          <w:sz w:val="24"/>
          <w:szCs w:val="24"/>
          <w:lang w:val="sq-AL"/>
        </w:rPr>
        <w:t>1 dhe 01.07.2021</w:t>
      </w:r>
      <w:r w:rsidR="0033366C" w:rsidRPr="007A0DEB">
        <w:rPr>
          <w:rFonts w:ascii="Times New Roman" w:hAnsi="Times New Roman" w:cs="Times New Roman"/>
          <w:sz w:val="24"/>
          <w:szCs w:val="24"/>
          <w:lang w:val="sq-AL"/>
        </w:rPr>
        <w:t xml:space="preserve"> Agjencia ka zhvilluar procesin për rinovimin e </w:t>
      </w:r>
      <w:proofErr w:type="spellStart"/>
      <w:r w:rsidR="0033366C" w:rsidRPr="007A0DEB">
        <w:rPr>
          <w:rFonts w:ascii="Times New Roman" w:hAnsi="Times New Roman" w:cs="Times New Roman"/>
          <w:sz w:val="24"/>
          <w:szCs w:val="24"/>
          <w:lang w:val="sq-AL"/>
        </w:rPr>
        <w:t>liçencave</w:t>
      </w:r>
      <w:proofErr w:type="spellEnd"/>
      <w:r w:rsidR="0033366C" w:rsidRPr="007A0DEB">
        <w:rPr>
          <w:rFonts w:ascii="Times New Roman" w:hAnsi="Times New Roman" w:cs="Times New Roman"/>
          <w:sz w:val="24"/>
          <w:szCs w:val="24"/>
          <w:lang w:val="sq-AL"/>
        </w:rPr>
        <w:t xml:space="preserve"> të  administratorëve të falimentimit bazuar në rregulloren e miratuar nga Ministri i Drejtësisë, Nr.4217/2/, datë 25.05.2012, Neni 27, “Për përcaktimin e rregullave të hollësishme për procedurat dhe afatet e organizimit të provimit për </w:t>
      </w:r>
      <w:proofErr w:type="spellStart"/>
      <w:r w:rsidR="0033366C" w:rsidRPr="007A0DEB">
        <w:rPr>
          <w:rFonts w:ascii="Times New Roman" w:hAnsi="Times New Roman" w:cs="Times New Roman"/>
          <w:sz w:val="24"/>
          <w:szCs w:val="24"/>
          <w:lang w:val="sq-AL"/>
        </w:rPr>
        <w:t>licensimin</w:t>
      </w:r>
      <w:proofErr w:type="spellEnd"/>
      <w:r w:rsidR="0033366C" w:rsidRPr="007A0DEB">
        <w:rPr>
          <w:rFonts w:ascii="Times New Roman" w:hAnsi="Times New Roman" w:cs="Times New Roman"/>
          <w:sz w:val="24"/>
          <w:szCs w:val="24"/>
          <w:lang w:val="sq-AL"/>
        </w:rPr>
        <w:t xml:space="preserve"> e administratorëve të falimentimit”. </w:t>
      </w:r>
      <w:r w:rsidR="0033366C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Pas përfundimit të </w:t>
      </w:r>
      <w:proofErr w:type="spellStart"/>
      <w:r w:rsidR="0033366C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>proçesit</w:t>
      </w:r>
      <w:proofErr w:type="spellEnd"/>
      <w:r w:rsidR="0033366C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të rinovimit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në datën 19 maj</w:t>
      </w:r>
      <w:r w:rsidR="0033366C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2</w:t>
      </w:r>
      <w:r w:rsidR="0033366C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dy</w:t>
      </w:r>
      <w:r w:rsidR="0033366C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) Administratorë paraqitën kërkesën për rinovimin e </w:t>
      </w:r>
      <w:proofErr w:type="spellStart"/>
      <w:r w:rsidR="0033366C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>liçencës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,</w:t>
      </w:r>
      <w:r w:rsidR="001965E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ndërsa në datën 01 korrik, 1(një)</w:t>
      </w:r>
      <w:r w:rsidR="001965E1" w:rsidRPr="001965E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1965E1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Administratorë </w:t>
      </w:r>
      <w:r w:rsidR="001965E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ka </w:t>
      </w:r>
      <w:r w:rsidR="001965E1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>paraqi</w:t>
      </w:r>
      <w:r w:rsidR="001965E1">
        <w:rPr>
          <w:rFonts w:ascii="Times New Roman" w:hAnsi="Times New Roman" w:cs="Times New Roman"/>
          <w:b/>
          <w:i/>
          <w:sz w:val="24"/>
          <w:szCs w:val="24"/>
          <w:lang w:val="sq-AL"/>
        </w:rPr>
        <w:t>tur</w:t>
      </w:r>
      <w:r w:rsidR="001965E1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kërkesën për rinovimin e </w:t>
      </w:r>
      <w:proofErr w:type="spellStart"/>
      <w:r w:rsidR="001965E1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>liçencës</w:t>
      </w:r>
      <w:proofErr w:type="spellEnd"/>
      <w:r w:rsidR="001965E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. </w:t>
      </w:r>
      <w:r w:rsidR="0033366C" w:rsidRPr="007A0DEB">
        <w:rPr>
          <w:rFonts w:ascii="Times New Roman" w:hAnsi="Times New Roman" w:cs="Times New Roman"/>
          <w:sz w:val="24"/>
          <w:szCs w:val="24"/>
          <w:lang w:val="sq-AL"/>
        </w:rPr>
        <w:t xml:space="preserve">Tashmë janë gjithsej </w:t>
      </w:r>
      <w:r w:rsidR="005E14BE" w:rsidRPr="005E14BE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  <w:r w:rsidR="0033366C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Administratorë Falimentimi, nga të cilët </w:t>
      </w:r>
      <w:r w:rsidR="005E14BE">
        <w:rPr>
          <w:rFonts w:ascii="Times New Roman" w:hAnsi="Times New Roman" w:cs="Times New Roman"/>
          <w:b/>
          <w:i/>
          <w:sz w:val="24"/>
          <w:szCs w:val="24"/>
          <w:lang w:val="sq-AL"/>
        </w:rPr>
        <w:t>7</w:t>
      </w:r>
      <w:r w:rsidR="0033366C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(</w:t>
      </w:r>
      <w:r w:rsidR="005E14BE">
        <w:rPr>
          <w:rFonts w:ascii="Times New Roman" w:hAnsi="Times New Roman" w:cs="Times New Roman"/>
          <w:b/>
          <w:i/>
          <w:sz w:val="24"/>
          <w:szCs w:val="24"/>
          <w:lang w:val="sq-AL"/>
        </w:rPr>
        <w:t>shtat</w:t>
      </w:r>
      <w:r w:rsidR="0033366C" w:rsidRPr="00E42D26">
        <w:rPr>
          <w:rFonts w:ascii="Times New Roman" w:hAnsi="Times New Roman" w:cs="Times New Roman"/>
          <w:b/>
          <w:i/>
          <w:sz w:val="24"/>
          <w:szCs w:val="24"/>
          <w:lang w:val="sq-AL"/>
        </w:rPr>
        <w:t>ë) me status aktiv dhe 1(një) me status pasiv.</w:t>
      </w:r>
    </w:p>
    <w:p w:rsidR="006A415F" w:rsidRDefault="006A415F" w:rsidP="00A27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3366C" w:rsidRPr="007A0DEB" w:rsidRDefault="0033366C" w:rsidP="00A27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A0DEB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Të dhënat e administratorëve të </w:t>
      </w:r>
      <w:proofErr w:type="spellStart"/>
      <w:r w:rsidRPr="007A0DEB">
        <w:rPr>
          <w:rFonts w:ascii="Times New Roman" w:hAnsi="Times New Roman" w:cs="Times New Roman"/>
          <w:sz w:val="24"/>
          <w:szCs w:val="24"/>
          <w:lang w:val="sq-AL"/>
        </w:rPr>
        <w:t>licensuar</w:t>
      </w:r>
      <w:proofErr w:type="spellEnd"/>
      <w:r w:rsidRPr="007A0DEB">
        <w:rPr>
          <w:rFonts w:ascii="Times New Roman" w:hAnsi="Times New Roman" w:cs="Times New Roman"/>
          <w:sz w:val="24"/>
          <w:szCs w:val="24"/>
          <w:lang w:val="sq-AL"/>
        </w:rPr>
        <w:t xml:space="preserve">, përfshirë dhe statusin e </w:t>
      </w:r>
      <w:proofErr w:type="spellStart"/>
      <w:r w:rsidRPr="007A0DEB">
        <w:rPr>
          <w:rFonts w:ascii="Times New Roman" w:hAnsi="Times New Roman" w:cs="Times New Roman"/>
          <w:sz w:val="24"/>
          <w:szCs w:val="24"/>
          <w:lang w:val="sq-AL"/>
        </w:rPr>
        <w:t>licensës</w:t>
      </w:r>
      <w:proofErr w:type="spellEnd"/>
      <w:r w:rsidRPr="007A0DEB">
        <w:rPr>
          <w:rFonts w:ascii="Times New Roman" w:hAnsi="Times New Roman" w:cs="Times New Roman"/>
          <w:sz w:val="24"/>
          <w:szCs w:val="24"/>
          <w:lang w:val="sq-AL"/>
        </w:rPr>
        <w:t xml:space="preserve"> së tyre gjenden të regjistruar në regjistrin e administratorëve të </w:t>
      </w:r>
      <w:proofErr w:type="spellStart"/>
      <w:r w:rsidRPr="007A0DEB">
        <w:rPr>
          <w:rFonts w:ascii="Times New Roman" w:hAnsi="Times New Roman" w:cs="Times New Roman"/>
          <w:sz w:val="24"/>
          <w:szCs w:val="24"/>
          <w:lang w:val="sq-AL"/>
        </w:rPr>
        <w:t>çertifikuar</w:t>
      </w:r>
      <w:proofErr w:type="spellEnd"/>
      <w:r w:rsidRPr="007A0DEB">
        <w:rPr>
          <w:rFonts w:ascii="Times New Roman" w:hAnsi="Times New Roman" w:cs="Times New Roman"/>
          <w:sz w:val="24"/>
          <w:szCs w:val="24"/>
          <w:lang w:val="sq-AL"/>
        </w:rPr>
        <w:t xml:space="preserve"> të falimentimit. Një kopje e këtij regjistri është vënë në dispozicion gjykatave të rretheve gjyqësore, kjo pasi administratorët e </w:t>
      </w:r>
      <w:proofErr w:type="spellStart"/>
      <w:r w:rsidRPr="007A0DEB">
        <w:rPr>
          <w:rFonts w:ascii="Times New Roman" w:hAnsi="Times New Roman" w:cs="Times New Roman"/>
          <w:sz w:val="24"/>
          <w:szCs w:val="24"/>
          <w:lang w:val="sq-AL"/>
        </w:rPr>
        <w:t>licensuar</w:t>
      </w:r>
      <w:proofErr w:type="spellEnd"/>
      <w:r w:rsidRPr="007A0DEB">
        <w:rPr>
          <w:rFonts w:ascii="Times New Roman" w:hAnsi="Times New Roman" w:cs="Times New Roman"/>
          <w:sz w:val="24"/>
          <w:szCs w:val="24"/>
          <w:lang w:val="sq-AL"/>
        </w:rPr>
        <w:t xml:space="preserve"> janë të vetmit operatorë që do të mund të emërohen nga gjykata në një procedurë të hapur për deklarim falimentimi.</w:t>
      </w:r>
    </w:p>
    <w:p w:rsidR="0033366C" w:rsidRPr="007A0DEB" w:rsidRDefault="0033366C" w:rsidP="00A27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3366C" w:rsidRDefault="0033366C" w:rsidP="00A2789D">
      <w:pPr>
        <w:pStyle w:val="ListParagraph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b/>
          <w:color w:val="C00000"/>
          <w:sz w:val="24"/>
          <w:szCs w:val="24"/>
        </w:rPr>
      </w:pPr>
      <w:bookmarkStart w:id="0" w:name="_Toc375768054"/>
      <w:proofErr w:type="spellStart"/>
      <w:r w:rsidRPr="007A0DEB">
        <w:rPr>
          <w:rFonts w:ascii="Times New Roman" w:hAnsi="Times New Roman"/>
          <w:b/>
          <w:color w:val="C00000"/>
          <w:sz w:val="24"/>
          <w:szCs w:val="24"/>
        </w:rPr>
        <w:t>Statistika</w:t>
      </w:r>
      <w:bookmarkEnd w:id="0"/>
      <w:proofErr w:type="spellEnd"/>
    </w:p>
    <w:p w:rsidR="007C7593" w:rsidRPr="007A0DEB" w:rsidRDefault="007C7593" w:rsidP="00A2789D">
      <w:pPr>
        <w:pStyle w:val="ListParagraph"/>
        <w:spacing w:after="0"/>
        <w:jc w:val="both"/>
        <w:outlineLvl w:val="0"/>
        <w:rPr>
          <w:rFonts w:ascii="Times New Roman" w:hAnsi="Times New Roman"/>
          <w:b/>
          <w:color w:val="C00000"/>
          <w:sz w:val="24"/>
          <w:szCs w:val="24"/>
        </w:rPr>
      </w:pPr>
    </w:p>
    <w:p w:rsidR="0033366C" w:rsidRPr="007A0DEB" w:rsidRDefault="0033366C" w:rsidP="00A2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përmirësimeve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krijimit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Agjencisë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mbikqyrë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lehtësojë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admistratorëve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nxitur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shpejtë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transparencën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Shqipëri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raportimeve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periodike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kthehet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institucionin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ofrojë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0DEB">
        <w:rPr>
          <w:rFonts w:ascii="Times New Roman" w:hAnsi="Times New Roman" w:cs="Times New Roman"/>
          <w:sz w:val="24"/>
          <w:szCs w:val="24"/>
        </w:rPr>
        <w:t>jo</w:t>
      </w:r>
      <w:proofErr w:type="spellEnd"/>
      <w:proofErr w:type="gram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>.</w:t>
      </w:r>
    </w:p>
    <w:p w:rsidR="0033366C" w:rsidRPr="007A0DEB" w:rsidRDefault="0033366C" w:rsidP="00A2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66C" w:rsidRPr="007A0DEB" w:rsidRDefault="0033366C" w:rsidP="00A2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statistikore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deklarim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falimenti</w:t>
      </w:r>
      <w:r w:rsidR="007A0DEB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E4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202</w:t>
      </w:r>
      <w:r w:rsidR="001E6E61">
        <w:rPr>
          <w:rFonts w:ascii="Times New Roman" w:hAnsi="Times New Roman" w:cs="Times New Roman"/>
          <w:sz w:val="24"/>
          <w:szCs w:val="24"/>
        </w:rPr>
        <w:t>1</w:t>
      </w:r>
      <w:r w:rsidRPr="007A0DEB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përpunuar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sektori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Standardeve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Statistikave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Agjencinë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përpunuara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366C" w:rsidRPr="007A0DEB" w:rsidRDefault="0033366C" w:rsidP="00A2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783"/>
        <w:gridCol w:w="1784"/>
        <w:gridCol w:w="1783"/>
        <w:gridCol w:w="1784"/>
      </w:tblGrid>
      <w:tr w:rsidR="0033366C" w:rsidRPr="007A0DEB" w:rsidTr="00317340"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proofErr w:type="spellStart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Gjykata</w:t>
            </w:r>
            <w:proofErr w:type="spellEnd"/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proofErr w:type="spellStart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Të</w:t>
            </w:r>
            <w:proofErr w:type="spellEnd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 xml:space="preserve"> </w:t>
            </w:r>
            <w:proofErr w:type="spellStart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mbartura</w:t>
            </w:r>
            <w:proofErr w:type="spellEnd"/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proofErr w:type="spellStart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Të</w:t>
            </w:r>
            <w:proofErr w:type="spellEnd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 xml:space="preserve"> </w:t>
            </w:r>
            <w:proofErr w:type="spellStart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reja</w:t>
            </w:r>
            <w:proofErr w:type="spellEnd"/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proofErr w:type="spellStart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Rikthyer</w:t>
            </w:r>
            <w:proofErr w:type="spellEnd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 xml:space="preserve"> </w:t>
            </w:r>
            <w:proofErr w:type="spellStart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për</w:t>
            </w:r>
            <w:proofErr w:type="spellEnd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 xml:space="preserve"> </w:t>
            </w:r>
            <w:proofErr w:type="spellStart"/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gjykim</w:t>
            </w:r>
            <w:proofErr w:type="spellEnd"/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SHUMA</w:t>
            </w:r>
          </w:p>
        </w:tc>
      </w:tr>
      <w:tr w:rsidR="0033366C" w:rsidRPr="007A0DEB" w:rsidTr="00570D75"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 w:rsidRPr="007A0DEB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Tirana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33366C" w:rsidRPr="007A0DEB" w:rsidRDefault="00652872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19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0364F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8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 w:rsidRPr="007A0DEB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570D75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27</w:t>
            </w:r>
          </w:p>
        </w:tc>
      </w:tr>
      <w:tr w:rsidR="0033366C" w:rsidRPr="007A0DEB" w:rsidTr="00570D75"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proofErr w:type="spellStart"/>
            <w:r w:rsidRPr="007A0DEB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Durrësi</w:t>
            </w:r>
            <w:proofErr w:type="spellEnd"/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33366C" w:rsidRPr="007A0DEB" w:rsidRDefault="00652872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0364F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A0DE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570D75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</w:t>
            </w:r>
          </w:p>
        </w:tc>
      </w:tr>
      <w:tr w:rsidR="0033366C" w:rsidRPr="007A0DEB" w:rsidTr="00570D75"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proofErr w:type="spellStart"/>
            <w:r w:rsidRPr="007A0DEB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Shkodra</w:t>
            </w:r>
            <w:proofErr w:type="spellEnd"/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33366C" w:rsidRPr="007A0DEB" w:rsidRDefault="00652872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2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ED2940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1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3366C" w:rsidRPr="007A0DEB" w:rsidRDefault="00ED73CD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570D75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4</w:t>
            </w:r>
          </w:p>
        </w:tc>
      </w:tr>
      <w:tr w:rsidR="0033366C" w:rsidRPr="007A0DEB" w:rsidTr="00570D75"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proofErr w:type="spellStart"/>
            <w:r w:rsidRPr="007A0DEB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Fieri</w:t>
            </w:r>
            <w:proofErr w:type="spellEnd"/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33366C" w:rsidRPr="007A0DEB" w:rsidRDefault="00652872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ED2940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A0DE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570D75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</w:t>
            </w:r>
          </w:p>
        </w:tc>
      </w:tr>
      <w:tr w:rsidR="0033366C" w:rsidRPr="007A0DEB" w:rsidTr="00570D75"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proofErr w:type="spellStart"/>
            <w:r w:rsidRPr="007A0DEB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Lezha</w:t>
            </w:r>
            <w:proofErr w:type="spellEnd"/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33366C" w:rsidRPr="007A0DEB" w:rsidRDefault="00652872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ED2940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0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 w:rsidRPr="007A0DEB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570D75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1</w:t>
            </w:r>
          </w:p>
        </w:tc>
      </w:tr>
      <w:tr w:rsidR="0033366C" w:rsidRPr="007A0DEB" w:rsidTr="00570D75"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33366C" w:rsidRPr="007A0DEB" w:rsidRDefault="00652872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Korça</w:t>
            </w:r>
            <w:proofErr w:type="spellEnd"/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33366C" w:rsidRPr="007A0DEB" w:rsidRDefault="00652872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ED2940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A0DE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3366C" w:rsidRPr="007A0DEB" w:rsidRDefault="00570D75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</w:t>
            </w:r>
          </w:p>
        </w:tc>
      </w:tr>
      <w:tr w:rsidR="002B6CC1" w:rsidRPr="007A0DEB" w:rsidTr="009D7327">
        <w:tc>
          <w:tcPr>
            <w:tcW w:w="2442" w:type="dxa"/>
            <w:shd w:val="clear" w:color="auto" w:fill="auto"/>
            <w:noWrap/>
            <w:vAlign w:val="center"/>
          </w:tcPr>
          <w:p w:rsidR="002B6CC1" w:rsidRDefault="002B6CC1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Vlora</w:t>
            </w:r>
            <w:proofErr w:type="spellEnd"/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2B6CC1" w:rsidRDefault="00F9217E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2B6CC1" w:rsidRPr="007A0DEB" w:rsidRDefault="00ED2940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2B6CC1" w:rsidRPr="007A0DEB" w:rsidRDefault="00ED73CD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2B6CC1" w:rsidRPr="007A0DEB" w:rsidRDefault="00570D75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</w:t>
            </w:r>
          </w:p>
        </w:tc>
      </w:tr>
      <w:tr w:rsidR="0033366C" w:rsidRPr="007A0DEB" w:rsidTr="00317340">
        <w:tc>
          <w:tcPr>
            <w:tcW w:w="2442" w:type="dxa"/>
            <w:shd w:val="clear" w:color="auto" w:fill="auto"/>
            <w:noWrap/>
            <w:vAlign w:val="bottom"/>
            <w:hideMark/>
          </w:tcPr>
          <w:p w:rsidR="0033366C" w:rsidRPr="007A0DEB" w:rsidRDefault="0033366C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</w:pPr>
            <w:r w:rsidRPr="007A0D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TOTAL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33366C" w:rsidRPr="007A0DEB" w:rsidRDefault="00F9217E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28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33366C" w:rsidRPr="007A0DEB" w:rsidRDefault="00982542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12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33366C" w:rsidRPr="007A0DEB" w:rsidRDefault="00ED73CD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1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33366C" w:rsidRPr="007A0DEB" w:rsidRDefault="00570D75" w:rsidP="00A278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41</w:t>
            </w:r>
          </w:p>
        </w:tc>
      </w:tr>
    </w:tbl>
    <w:p w:rsidR="0033366C" w:rsidRPr="007A0DEB" w:rsidRDefault="0033366C" w:rsidP="00A2789D">
      <w:pPr>
        <w:suppressAutoHyphens/>
        <w:spacing w:after="0"/>
        <w:jc w:val="right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proofErr w:type="spellStart"/>
      <w:r w:rsidRPr="007A0DEB"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</w:rPr>
        <w:t>Burimi</w:t>
      </w:r>
      <w:proofErr w:type="spellEnd"/>
      <w:r w:rsidRPr="007A0DEB"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</w:rPr>
        <w:t xml:space="preserve">: </w:t>
      </w:r>
      <w:proofErr w:type="spellStart"/>
      <w:r w:rsidRPr="007A0DEB"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</w:rPr>
        <w:t>Agjencia</w:t>
      </w:r>
      <w:proofErr w:type="spellEnd"/>
      <w:r w:rsidRPr="007A0DEB"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</w:rPr>
        <w:t xml:space="preserve"> </w:t>
      </w:r>
      <w:proofErr w:type="spellStart"/>
      <w:r w:rsidRPr="007A0DEB"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</w:rPr>
        <w:t>Kombëtare</w:t>
      </w:r>
      <w:proofErr w:type="spellEnd"/>
      <w:r w:rsidRPr="007A0DEB"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</w:rPr>
        <w:t xml:space="preserve"> e </w:t>
      </w:r>
      <w:proofErr w:type="spellStart"/>
      <w:r w:rsidRPr="007A0DEB"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</w:rPr>
        <w:t>Falimentimit</w:t>
      </w:r>
      <w:proofErr w:type="spellEnd"/>
    </w:p>
    <w:p w:rsidR="007B56D3" w:rsidRDefault="007B56D3" w:rsidP="00A2789D">
      <w:pPr>
        <w:suppressAutoHyphens/>
        <w:spacing w:after="0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</w:p>
    <w:p w:rsidR="007B56D3" w:rsidRPr="007A0DEB" w:rsidRDefault="007B56D3" w:rsidP="00A2789D">
      <w:pPr>
        <w:suppressAutoHyphens/>
        <w:spacing w:after="0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</w:p>
    <w:p w:rsidR="0033366C" w:rsidRDefault="0033366C" w:rsidP="00A2789D">
      <w:pPr>
        <w:pStyle w:val="ListParagraph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7A0DEB">
        <w:rPr>
          <w:rFonts w:ascii="Times New Roman" w:hAnsi="Times New Roman"/>
          <w:b/>
          <w:color w:val="C00000"/>
          <w:sz w:val="24"/>
          <w:szCs w:val="24"/>
        </w:rPr>
        <w:t>Mbikëqyrja</w:t>
      </w:r>
      <w:proofErr w:type="spellEnd"/>
      <w:r w:rsidRPr="007A0DEB">
        <w:rPr>
          <w:rFonts w:ascii="Times New Roman" w:hAnsi="Times New Roman"/>
          <w:b/>
          <w:color w:val="C00000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/>
          <w:b/>
          <w:color w:val="C00000"/>
          <w:sz w:val="24"/>
          <w:szCs w:val="24"/>
        </w:rPr>
        <w:t>veprimtarisë</w:t>
      </w:r>
      <w:proofErr w:type="spellEnd"/>
      <w:r w:rsidRPr="007A0DEB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/>
          <w:b/>
          <w:color w:val="C00000"/>
          <w:sz w:val="24"/>
          <w:szCs w:val="24"/>
        </w:rPr>
        <w:t>së</w:t>
      </w:r>
      <w:proofErr w:type="spellEnd"/>
      <w:r w:rsidRPr="007A0DEB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/>
          <w:b/>
          <w:color w:val="C00000"/>
          <w:sz w:val="24"/>
          <w:szCs w:val="24"/>
        </w:rPr>
        <w:t>Administratorëve</w:t>
      </w:r>
      <w:proofErr w:type="spellEnd"/>
      <w:r w:rsidRPr="007A0DEB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/>
          <w:b/>
          <w:color w:val="C00000"/>
          <w:sz w:val="24"/>
          <w:szCs w:val="24"/>
        </w:rPr>
        <w:t>të</w:t>
      </w:r>
      <w:proofErr w:type="spellEnd"/>
      <w:r w:rsidRPr="007A0DEB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/>
          <w:b/>
          <w:color w:val="C00000"/>
          <w:sz w:val="24"/>
          <w:szCs w:val="24"/>
        </w:rPr>
        <w:t>Falimentimit</w:t>
      </w:r>
      <w:proofErr w:type="spellEnd"/>
    </w:p>
    <w:p w:rsidR="006047FB" w:rsidRPr="007A0DEB" w:rsidRDefault="006047FB" w:rsidP="00A2789D">
      <w:pPr>
        <w:pStyle w:val="ListParagraph"/>
        <w:spacing w:after="0"/>
        <w:jc w:val="both"/>
        <w:outlineLvl w:val="0"/>
        <w:rPr>
          <w:rFonts w:ascii="Times New Roman" w:hAnsi="Times New Roman"/>
          <w:b/>
          <w:color w:val="C00000"/>
          <w:sz w:val="24"/>
          <w:szCs w:val="24"/>
        </w:rPr>
      </w:pPr>
    </w:p>
    <w:p w:rsidR="0033366C" w:rsidRPr="00696BE7" w:rsidRDefault="0033366C" w:rsidP="00A2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DEB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licensimit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administratorëve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mbikëqyrja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detyra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Agjencisë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0DEB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mbikëqyrjes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duke u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mbikëqyrjes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viti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drejtori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Agjencisë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mbikëqyrjeve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autorizuara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administratori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përmbushur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ankesat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paraqitura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0DEB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mbikëqyrjes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vijuar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rapotimeve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komunikimeve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lastRenderedPageBreak/>
        <w:t>përmes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maileve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administratorët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mbikëqyrja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kontrolli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zyrtar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administratorëve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pezulluar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drejtorit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Agjencisë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366C" w:rsidRPr="006047FB" w:rsidRDefault="0033366C" w:rsidP="00A278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33366C" w:rsidRPr="006047FB" w:rsidRDefault="0033366C" w:rsidP="00A278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C00000"/>
          <w:sz w:val="24"/>
          <w:szCs w:val="24"/>
          <w:lang w:val="sq-AL"/>
        </w:rPr>
      </w:pPr>
      <w:r w:rsidRPr="006047FB">
        <w:rPr>
          <w:rFonts w:ascii="Times New Roman" w:hAnsi="Times New Roman"/>
          <w:b/>
          <w:color w:val="C00000"/>
          <w:sz w:val="24"/>
          <w:szCs w:val="24"/>
          <w:lang w:val="it-IT"/>
        </w:rPr>
        <w:t>Trajnime</w:t>
      </w:r>
      <w:r w:rsidR="00696BE7" w:rsidRPr="006047FB">
        <w:rPr>
          <w:rFonts w:ascii="Times New Roman" w:hAnsi="Times New Roman"/>
          <w:b/>
          <w:color w:val="C00000"/>
          <w:sz w:val="24"/>
          <w:szCs w:val="24"/>
          <w:lang w:val="it-IT"/>
        </w:rPr>
        <w:t xml:space="preserve"> dhe nd</w:t>
      </w:r>
      <w:r w:rsidR="001650D8" w:rsidRPr="006047FB">
        <w:rPr>
          <w:rFonts w:ascii="Times New Roman" w:hAnsi="Times New Roman"/>
          <w:b/>
          <w:color w:val="C00000"/>
          <w:sz w:val="24"/>
          <w:szCs w:val="24"/>
          <w:lang w:val="it-IT"/>
        </w:rPr>
        <w:t>ë</w:t>
      </w:r>
      <w:r w:rsidR="00696BE7" w:rsidRPr="006047FB">
        <w:rPr>
          <w:rFonts w:ascii="Times New Roman" w:hAnsi="Times New Roman"/>
          <w:b/>
          <w:color w:val="C00000"/>
          <w:sz w:val="24"/>
          <w:szCs w:val="24"/>
          <w:lang w:val="it-IT"/>
        </w:rPr>
        <w:t>rgjegj</w:t>
      </w:r>
      <w:r w:rsidR="001650D8" w:rsidRPr="006047FB">
        <w:rPr>
          <w:rFonts w:ascii="Times New Roman" w:hAnsi="Times New Roman"/>
          <w:b/>
          <w:color w:val="C00000"/>
          <w:sz w:val="24"/>
          <w:szCs w:val="24"/>
          <w:lang w:val="it-IT"/>
        </w:rPr>
        <w:t>ë</w:t>
      </w:r>
      <w:r w:rsidR="00696BE7" w:rsidRPr="006047FB">
        <w:rPr>
          <w:rFonts w:ascii="Times New Roman" w:hAnsi="Times New Roman"/>
          <w:b/>
          <w:color w:val="C00000"/>
          <w:sz w:val="24"/>
          <w:szCs w:val="24"/>
          <w:lang w:val="it-IT"/>
        </w:rPr>
        <w:t>simi</w:t>
      </w:r>
    </w:p>
    <w:p w:rsidR="006047FB" w:rsidRPr="006047FB" w:rsidRDefault="006047FB" w:rsidP="00A2789D">
      <w:pPr>
        <w:pStyle w:val="ListParagraph"/>
        <w:spacing w:after="0"/>
        <w:jc w:val="both"/>
        <w:rPr>
          <w:rFonts w:ascii="Times New Roman" w:eastAsia="Times New Roman" w:hAnsi="Times New Roman"/>
          <w:color w:val="C00000"/>
          <w:sz w:val="24"/>
          <w:szCs w:val="24"/>
          <w:lang w:val="sq-AL"/>
        </w:rPr>
      </w:pPr>
    </w:p>
    <w:p w:rsidR="0033366C" w:rsidRPr="007A0DEB" w:rsidRDefault="0033366C" w:rsidP="00A2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vijimit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marrëveshjes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nënshkruar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IFC (International Finance Corporation)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Zgjidhja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borxhit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dalja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0DEB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Pr="007A0DEB">
        <w:rPr>
          <w:rFonts w:ascii="Times New Roman" w:hAnsi="Times New Roman" w:cs="Times New Roman"/>
          <w:sz w:val="24"/>
          <w:szCs w:val="24"/>
        </w:rPr>
        <w:t>”</w:t>
      </w:r>
      <w:r w:rsidR="008D3565">
        <w:rPr>
          <w:rFonts w:ascii="Times New Roman" w:hAnsi="Times New Roman" w:cs="Times New Roman"/>
          <w:sz w:val="24"/>
          <w:szCs w:val="24"/>
        </w:rPr>
        <w:t>,</w:t>
      </w:r>
      <w:r w:rsidRPr="007A0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FD0" w:rsidRDefault="008D3565" w:rsidP="00A2789D">
      <w:pPr>
        <w:pStyle w:val="CVSpacer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s</w:t>
      </w:r>
      <w:r w:rsidR="0033366C" w:rsidRPr="007A0DEB">
        <w:rPr>
          <w:rFonts w:ascii="Times New Roman" w:hAnsi="Times New Roman"/>
          <w:sz w:val="24"/>
          <w:szCs w:val="24"/>
          <w:lang w:val="en-GB"/>
        </w:rPr>
        <w:t>tafi</w:t>
      </w:r>
      <w:proofErr w:type="spellEnd"/>
      <w:proofErr w:type="gramEnd"/>
      <w:r w:rsidR="0033366C" w:rsidRPr="007A0DEB">
        <w:rPr>
          <w:rFonts w:ascii="Times New Roman" w:hAnsi="Times New Roman"/>
          <w:sz w:val="24"/>
          <w:szCs w:val="24"/>
          <w:lang w:val="en-GB"/>
        </w:rPr>
        <w:t xml:space="preserve"> i AK</w:t>
      </w:r>
      <w:r w:rsidR="008B4FD0">
        <w:rPr>
          <w:rFonts w:ascii="Times New Roman" w:hAnsi="Times New Roman"/>
          <w:sz w:val="24"/>
          <w:szCs w:val="24"/>
          <w:lang w:val="en-GB"/>
        </w:rPr>
        <w:t>F-</w:t>
      </w:r>
      <w:proofErr w:type="spellStart"/>
      <w:r w:rsidR="008B4FD0">
        <w:rPr>
          <w:rFonts w:ascii="Times New Roman" w:hAnsi="Times New Roman"/>
          <w:sz w:val="24"/>
          <w:szCs w:val="24"/>
          <w:lang w:val="en-GB"/>
        </w:rPr>
        <w:t>së</w:t>
      </w:r>
      <w:proofErr w:type="spellEnd"/>
      <w:r w:rsidR="008B4F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B4FD0">
        <w:rPr>
          <w:rFonts w:ascii="Times New Roman" w:hAnsi="Times New Roman"/>
          <w:sz w:val="24"/>
          <w:szCs w:val="24"/>
          <w:lang w:val="en-GB"/>
        </w:rPr>
        <w:t>ka</w:t>
      </w:r>
      <w:proofErr w:type="spellEnd"/>
      <w:r w:rsidR="008B4F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B4FD0">
        <w:rPr>
          <w:rFonts w:ascii="Times New Roman" w:hAnsi="Times New Roman"/>
          <w:sz w:val="24"/>
          <w:szCs w:val="24"/>
          <w:lang w:val="en-GB"/>
        </w:rPr>
        <w:t>marrë</w:t>
      </w:r>
      <w:proofErr w:type="spellEnd"/>
      <w:r w:rsidR="008B4F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B4FD0">
        <w:rPr>
          <w:rFonts w:ascii="Times New Roman" w:hAnsi="Times New Roman"/>
          <w:sz w:val="24"/>
          <w:szCs w:val="24"/>
          <w:lang w:val="en-GB"/>
        </w:rPr>
        <w:t>pjesë</w:t>
      </w:r>
      <w:proofErr w:type="spellEnd"/>
      <w:r w:rsidR="008B4F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B4FD0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="008B4F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B4FD0">
        <w:rPr>
          <w:rFonts w:ascii="Times New Roman" w:hAnsi="Times New Roman"/>
          <w:sz w:val="24"/>
          <w:szCs w:val="24"/>
          <w:lang w:val="en-GB"/>
        </w:rPr>
        <w:t>trajnimet</w:t>
      </w:r>
      <w:proofErr w:type="spellEnd"/>
      <w:r w:rsidR="0033366C" w:rsidRPr="007A0DEB">
        <w:rPr>
          <w:rFonts w:ascii="Times New Roman" w:hAnsi="Times New Roman"/>
          <w:sz w:val="24"/>
          <w:szCs w:val="24"/>
          <w:lang w:val="en-GB"/>
        </w:rPr>
        <w:t xml:space="preserve"> me </w:t>
      </w:r>
      <w:proofErr w:type="spellStart"/>
      <w:r w:rsidR="0033366C" w:rsidRPr="007A0DEB">
        <w:rPr>
          <w:rFonts w:ascii="Times New Roman" w:hAnsi="Times New Roman"/>
          <w:sz w:val="24"/>
          <w:szCs w:val="24"/>
          <w:lang w:val="en-GB"/>
        </w:rPr>
        <w:t>temë</w:t>
      </w:r>
      <w:proofErr w:type="spellEnd"/>
      <w:r w:rsidR="008B4FD0">
        <w:rPr>
          <w:rFonts w:ascii="Times New Roman" w:hAnsi="Times New Roman"/>
          <w:sz w:val="24"/>
          <w:szCs w:val="24"/>
          <w:lang w:val="en-GB"/>
        </w:rPr>
        <w:t>:</w:t>
      </w:r>
    </w:p>
    <w:p w:rsidR="008B4FD0" w:rsidRPr="008D3565" w:rsidRDefault="00DC5980" w:rsidP="00A2789D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4FD0" w:rsidRPr="008B4FD0">
        <w:rPr>
          <w:rFonts w:ascii="Times New Roman" w:hAnsi="Times New Roman"/>
          <w:color w:val="000000"/>
          <w:sz w:val="24"/>
          <w:szCs w:val="24"/>
        </w:rPr>
        <w:t>“</w:t>
      </w:r>
      <w:proofErr w:type="spellStart"/>
      <w:r w:rsidR="008B4FD0" w:rsidRPr="008B4FD0">
        <w:rPr>
          <w:rFonts w:ascii="Times New Roman" w:hAnsi="Times New Roman"/>
          <w:color w:val="000000"/>
          <w:sz w:val="24"/>
          <w:szCs w:val="24"/>
        </w:rPr>
        <w:t>Mbi</w:t>
      </w:r>
      <w:proofErr w:type="spellEnd"/>
      <w:r w:rsidR="008B4FD0" w:rsidRPr="008B4F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color w:val="000000"/>
          <w:sz w:val="24"/>
          <w:szCs w:val="24"/>
        </w:rPr>
        <w:t>çështjet</w:t>
      </w:r>
      <w:proofErr w:type="spellEnd"/>
      <w:r w:rsidR="008B4FD0" w:rsidRPr="008B4F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color w:val="000000"/>
          <w:sz w:val="24"/>
          <w:szCs w:val="24"/>
        </w:rPr>
        <w:t>reale</w:t>
      </w:r>
      <w:proofErr w:type="spellEnd"/>
      <w:r w:rsidR="008B4FD0" w:rsidRPr="008B4F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8B4FD0" w:rsidRPr="008B4F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color w:val="000000"/>
          <w:sz w:val="24"/>
          <w:szCs w:val="24"/>
        </w:rPr>
        <w:t>falimentimit</w:t>
      </w:r>
      <w:proofErr w:type="spellEnd"/>
      <w:r w:rsidR="008B4FD0" w:rsidRPr="008B4F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8B4FD0" w:rsidRPr="008B4F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color w:val="000000"/>
          <w:sz w:val="24"/>
          <w:szCs w:val="24"/>
        </w:rPr>
        <w:t>Shqipëri</w:t>
      </w:r>
      <w:proofErr w:type="spellEnd"/>
      <w:r w:rsidR="008B4FD0" w:rsidRPr="008B4FD0">
        <w:rPr>
          <w:rFonts w:ascii="Times New Roman" w:hAnsi="Times New Roman"/>
          <w:color w:val="000000"/>
          <w:sz w:val="24"/>
          <w:szCs w:val="24"/>
        </w:rPr>
        <w:t>”</w:t>
      </w:r>
      <w:r w:rsidR="008B4FD0" w:rsidRPr="008B4FD0">
        <w:rPr>
          <w:rFonts w:ascii="Times New Roman" w:hAnsi="Times New Roman"/>
          <w:bCs/>
          <w:sz w:val="24"/>
          <w:szCs w:val="24"/>
          <w:lang w:val="sq-AL"/>
        </w:rPr>
        <w:t>, dat</w:t>
      </w:r>
      <w:r w:rsidR="00696BE7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B4FD0" w:rsidRPr="008B4FD0">
        <w:rPr>
          <w:rFonts w:ascii="Times New Roman" w:hAnsi="Times New Roman"/>
          <w:bCs/>
          <w:sz w:val="24"/>
          <w:szCs w:val="24"/>
          <w:lang w:val="sq-AL"/>
        </w:rPr>
        <w:t xml:space="preserve"> 24 mars 2021</w:t>
      </w:r>
      <w:r w:rsidR="008D3565">
        <w:rPr>
          <w:rFonts w:ascii="Times New Roman" w:hAnsi="Times New Roman"/>
          <w:bCs/>
          <w:sz w:val="24"/>
          <w:szCs w:val="24"/>
          <w:lang w:val="sq-AL"/>
        </w:rPr>
        <w:t>,</w:t>
      </w:r>
      <w:r w:rsidR="008D3565" w:rsidRPr="008D3565">
        <w:rPr>
          <w:rFonts w:eastAsia="Times New Roman" w:cs="Calibri"/>
          <w:color w:val="000000"/>
          <w:lang w:val="en-GB"/>
        </w:rPr>
        <w:t xml:space="preserve"> </w:t>
      </w:r>
      <w:proofErr w:type="spellStart"/>
      <w:r w:rsidR="008D3565" w:rsidRPr="008D3565">
        <w:rPr>
          <w:rFonts w:ascii="Times New Roman" w:eastAsia="Times New Roman" w:hAnsi="Times New Roman"/>
          <w:color w:val="000000"/>
          <w:sz w:val="24"/>
          <w:lang w:val="en-GB"/>
        </w:rPr>
        <w:t>organizuar</w:t>
      </w:r>
      <w:proofErr w:type="spellEnd"/>
      <w:r w:rsidR="008D3565" w:rsidRPr="008D3565">
        <w:rPr>
          <w:rFonts w:ascii="Times New Roman" w:eastAsia="Times New Roman" w:hAnsi="Times New Roman"/>
          <w:color w:val="000000"/>
          <w:sz w:val="24"/>
          <w:lang w:val="en-GB"/>
        </w:rPr>
        <w:t xml:space="preserve"> </w:t>
      </w:r>
      <w:proofErr w:type="spellStart"/>
      <w:r w:rsidR="008D3565" w:rsidRPr="008D3565">
        <w:rPr>
          <w:rFonts w:ascii="Times New Roman" w:eastAsia="Times New Roman" w:hAnsi="Times New Roman"/>
          <w:color w:val="000000"/>
          <w:sz w:val="24"/>
          <w:lang w:val="en-GB"/>
        </w:rPr>
        <w:t>nga</w:t>
      </w:r>
      <w:proofErr w:type="spellEnd"/>
      <w:r w:rsidR="008D3565" w:rsidRPr="008D3565">
        <w:rPr>
          <w:rFonts w:ascii="Times New Roman" w:eastAsia="Times New Roman" w:hAnsi="Times New Roman"/>
          <w:color w:val="000000"/>
          <w:sz w:val="24"/>
          <w:lang w:val="en-GB"/>
        </w:rPr>
        <w:t xml:space="preserve"> IFC (International Finance Corporation) </w:t>
      </w:r>
      <w:proofErr w:type="spellStart"/>
      <w:r w:rsidR="008D3565" w:rsidRPr="008D3565">
        <w:rPr>
          <w:rFonts w:ascii="Times New Roman" w:eastAsia="Times New Roman" w:hAnsi="Times New Roman"/>
          <w:color w:val="000000"/>
          <w:sz w:val="24"/>
          <w:lang w:val="en-GB"/>
        </w:rPr>
        <w:t>në</w:t>
      </w:r>
      <w:proofErr w:type="spellEnd"/>
      <w:r w:rsidR="008D3565" w:rsidRPr="008D3565">
        <w:rPr>
          <w:rFonts w:ascii="Times New Roman" w:eastAsia="Times New Roman" w:hAnsi="Times New Roman"/>
          <w:color w:val="000000"/>
          <w:sz w:val="24"/>
          <w:lang w:val="en-GB"/>
        </w:rPr>
        <w:t xml:space="preserve"> </w:t>
      </w:r>
      <w:proofErr w:type="spellStart"/>
      <w:r w:rsidR="008D3565" w:rsidRPr="008D3565">
        <w:rPr>
          <w:rFonts w:ascii="Times New Roman" w:eastAsia="Times New Roman" w:hAnsi="Times New Roman"/>
          <w:color w:val="000000"/>
          <w:sz w:val="24"/>
          <w:lang w:val="en-GB"/>
        </w:rPr>
        <w:t>b</w:t>
      </w:r>
      <w:r w:rsidR="008D3565">
        <w:rPr>
          <w:rFonts w:ascii="Times New Roman" w:eastAsia="Times New Roman" w:hAnsi="Times New Roman"/>
          <w:color w:val="000000"/>
          <w:sz w:val="24"/>
          <w:lang w:val="en-GB"/>
        </w:rPr>
        <w:t>ashkëpunim</w:t>
      </w:r>
      <w:proofErr w:type="spellEnd"/>
      <w:r w:rsidR="008D3565">
        <w:rPr>
          <w:rFonts w:ascii="Times New Roman" w:eastAsia="Times New Roman" w:hAnsi="Times New Roman"/>
          <w:color w:val="000000"/>
          <w:sz w:val="24"/>
          <w:lang w:val="en-GB"/>
        </w:rPr>
        <w:t xml:space="preserve"> me </w:t>
      </w:r>
      <w:proofErr w:type="spellStart"/>
      <w:r w:rsidR="008D3565">
        <w:rPr>
          <w:rFonts w:ascii="Times New Roman" w:eastAsia="Times New Roman" w:hAnsi="Times New Roman"/>
          <w:color w:val="000000"/>
          <w:sz w:val="24"/>
          <w:lang w:val="en-GB"/>
        </w:rPr>
        <w:t>Kalo</w:t>
      </w:r>
      <w:proofErr w:type="spellEnd"/>
      <w:r w:rsidR="008D3565">
        <w:rPr>
          <w:rFonts w:ascii="Times New Roman" w:eastAsia="Times New Roman" w:hAnsi="Times New Roman"/>
          <w:color w:val="000000"/>
          <w:sz w:val="24"/>
          <w:lang w:val="en-GB"/>
        </w:rPr>
        <w:t xml:space="preserve"> &amp; Associates</w:t>
      </w:r>
      <w:r w:rsidR="00671D03">
        <w:rPr>
          <w:rFonts w:ascii="Times New Roman" w:hAnsi="Times New Roman"/>
          <w:bCs/>
          <w:sz w:val="28"/>
          <w:szCs w:val="24"/>
          <w:lang w:val="sq-AL"/>
        </w:rPr>
        <w:t>.</w:t>
      </w:r>
    </w:p>
    <w:p w:rsidR="00671D03" w:rsidRPr="008B4FD0" w:rsidRDefault="00DC5980" w:rsidP="00671D03">
      <w:pPr>
        <w:pStyle w:val="CVSpac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8B4FD0" w:rsidRPr="008B4FD0">
        <w:rPr>
          <w:rFonts w:ascii="Times New Roman" w:hAnsi="Times New Roman"/>
          <w:bCs/>
          <w:sz w:val="24"/>
          <w:szCs w:val="24"/>
        </w:rPr>
        <w:t>“</w:t>
      </w:r>
      <w:proofErr w:type="spellStart"/>
      <w:r w:rsidR="008B4FD0" w:rsidRPr="008B4FD0">
        <w:rPr>
          <w:rFonts w:ascii="Times New Roman" w:hAnsi="Times New Roman"/>
          <w:bCs/>
          <w:sz w:val="24"/>
          <w:szCs w:val="24"/>
        </w:rPr>
        <w:t>Aplikimin</w:t>
      </w:r>
      <w:proofErr w:type="spellEnd"/>
      <w:r w:rsidR="008B4FD0" w:rsidRPr="008B4FD0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8B4FD0" w:rsidRPr="008B4FD0">
        <w:rPr>
          <w:rFonts w:ascii="Times New Roman" w:hAnsi="Times New Roman"/>
          <w:bCs/>
          <w:sz w:val="24"/>
          <w:szCs w:val="24"/>
        </w:rPr>
        <w:t>ndërmjetësimit</w:t>
      </w:r>
      <w:proofErr w:type="spellEnd"/>
      <w:r w:rsidR="008B4FD0" w:rsidRPr="008B4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="008B4FD0" w:rsidRPr="008B4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8B4FD0" w:rsidRPr="008B4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bCs/>
          <w:sz w:val="24"/>
          <w:szCs w:val="24"/>
        </w:rPr>
        <w:t>zgjidhur</w:t>
      </w:r>
      <w:proofErr w:type="spellEnd"/>
      <w:r w:rsidR="008B4FD0" w:rsidRPr="008B4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bCs/>
          <w:sz w:val="24"/>
          <w:szCs w:val="24"/>
        </w:rPr>
        <w:t>çështjet</w:t>
      </w:r>
      <w:proofErr w:type="spellEnd"/>
      <w:r w:rsidR="008B4FD0" w:rsidRPr="008B4FD0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8B4FD0" w:rsidRPr="008B4FD0">
        <w:rPr>
          <w:rFonts w:ascii="Times New Roman" w:hAnsi="Times New Roman"/>
          <w:bCs/>
          <w:sz w:val="24"/>
          <w:szCs w:val="24"/>
        </w:rPr>
        <w:t>falimenti</w:t>
      </w:r>
      <w:r w:rsidR="00696BE7">
        <w:rPr>
          <w:rFonts w:ascii="Times New Roman" w:hAnsi="Times New Roman"/>
          <w:bCs/>
          <w:sz w:val="24"/>
          <w:szCs w:val="24"/>
        </w:rPr>
        <w:t>mi</w:t>
      </w:r>
      <w:r w:rsidR="008B4FD0" w:rsidRPr="008B4FD0">
        <w:rPr>
          <w:rFonts w:ascii="Times New Roman" w:hAnsi="Times New Roman"/>
          <w:bCs/>
          <w:sz w:val="24"/>
          <w:szCs w:val="24"/>
        </w:rPr>
        <w:t>t</w:t>
      </w:r>
      <w:proofErr w:type="spellEnd"/>
      <w:r w:rsidR="008B4FD0" w:rsidRPr="008B4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="008B4FD0" w:rsidRPr="008B4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B4FD0" w:rsidRPr="008B4FD0">
        <w:rPr>
          <w:rFonts w:ascii="Times New Roman" w:hAnsi="Times New Roman"/>
          <w:bCs/>
          <w:sz w:val="24"/>
          <w:szCs w:val="24"/>
        </w:rPr>
        <w:t>Shqipëri</w:t>
      </w:r>
      <w:proofErr w:type="spellEnd"/>
      <w:r w:rsidR="008B4FD0" w:rsidRPr="008B4FD0">
        <w:rPr>
          <w:rFonts w:ascii="Times New Roman" w:hAnsi="Times New Roman"/>
          <w:bCs/>
          <w:sz w:val="24"/>
          <w:szCs w:val="24"/>
        </w:rPr>
        <w:t>”</w:t>
      </w:r>
      <w:r w:rsidR="008B4FD0" w:rsidRPr="008B4F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4FD0" w:rsidRPr="008B4FD0">
        <w:rPr>
          <w:rFonts w:ascii="Times New Roman" w:hAnsi="Times New Roman"/>
          <w:sz w:val="24"/>
          <w:szCs w:val="24"/>
        </w:rPr>
        <w:t>dat</w:t>
      </w:r>
      <w:r w:rsidR="00696BE7">
        <w:rPr>
          <w:rFonts w:ascii="Times New Roman" w:hAnsi="Times New Roman"/>
          <w:sz w:val="24"/>
          <w:szCs w:val="24"/>
        </w:rPr>
        <w:t>ë</w:t>
      </w:r>
      <w:proofErr w:type="spellEnd"/>
      <w:r w:rsidR="008B4FD0" w:rsidRPr="008B4FD0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="008B4FD0" w:rsidRPr="008B4FD0">
        <w:rPr>
          <w:rFonts w:ascii="Times New Roman" w:hAnsi="Times New Roman"/>
          <w:sz w:val="24"/>
          <w:szCs w:val="24"/>
        </w:rPr>
        <w:t>prill</w:t>
      </w:r>
      <w:proofErr w:type="spellEnd"/>
      <w:r w:rsidR="008B4FD0" w:rsidRPr="008B4FD0">
        <w:rPr>
          <w:rFonts w:ascii="Times New Roman" w:hAnsi="Times New Roman"/>
          <w:sz w:val="24"/>
          <w:szCs w:val="24"/>
        </w:rPr>
        <w:t xml:space="preserve"> 2021</w:t>
      </w:r>
      <w:r w:rsidR="00671D03">
        <w:rPr>
          <w:rFonts w:ascii="Times New Roman" w:hAnsi="Times New Roman"/>
          <w:sz w:val="24"/>
          <w:szCs w:val="24"/>
        </w:rPr>
        <w:t>,</w:t>
      </w:r>
      <w:r w:rsidR="00671D03" w:rsidRPr="00671D0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671D03" w:rsidRPr="00671D03">
        <w:rPr>
          <w:rFonts w:ascii="Times New Roman" w:hAnsi="Times New Roman"/>
          <w:sz w:val="24"/>
          <w:szCs w:val="24"/>
          <w:lang w:val="en-GB"/>
        </w:rPr>
        <w:t>organizuar</w:t>
      </w:r>
      <w:proofErr w:type="spellEnd"/>
      <w:r w:rsidR="00671D03" w:rsidRPr="00671D0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671D03" w:rsidRPr="00671D03">
        <w:rPr>
          <w:rFonts w:ascii="Times New Roman" w:hAnsi="Times New Roman"/>
          <w:sz w:val="24"/>
          <w:szCs w:val="24"/>
          <w:lang w:val="en-GB"/>
        </w:rPr>
        <w:t>nga</w:t>
      </w:r>
      <w:proofErr w:type="spellEnd"/>
      <w:r w:rsidR="00671D03" w:rsidRPr="00671D03">
        <w:rPr>
          <w:rFonts w:ascii="Times New Roman" w:hAnsi="Times New Roman"/>
          <w:sz w:val="24"/>
          <w:szCs w:val="24"/>
          <w:lang w:val="en-GB"/>
        </w:rPr>
        <w:t xml:space="preserve"> IFC (International Finance Corporation)</w:t>
      </w:r>
      <w:r w:rsidR="00671D03">
        <w:rPr>
          <w:rFonts w:ascii="Times New Roman" w:hAnsi="Times New Roman"/>
          <w:sz w:val="24"/>
          <w:szCs w:val="24"/>
          <w:lang w:val="en-GB"/>
        </w:rPr>
        <w:t>.</w:t>
      </w:r>
    </w:p>
    <w:p w:rsidR="008B4FD0" w:rsidRPr="00671D03" w:rsidRDefault="008B4FD0" w:rsidP="00621D16">
      <w:pPr>
        <w:pStyle w:val="CVSpacer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8B4FD0" w:rsidRDefault="00696BE7" w:rsidP="00A2789D">
      <w:pPr>
        <w:pStyle w:val="CVSpacer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Gjithashtu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IFC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bashkëpunim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Kalo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&amp; Associates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kanë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publikuar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6F5AA4">
        <w:rPr>
          <w:rFonts w:ascii="Times New Roman" w:hAnsi="Times New Roman"/>
          <w:b/>
          <w:i/>
          <w:sz w:val="24"/>
          <w:szCs w:val="24"/>
          <w:lang w:val="en-GB"/>
        </w:rPr>
        <w:t>Udhëzuesin</w:t>
      </w:r>
      <w:proofErr w:type="spellEnd"/>
      <w:r w:rsidR="006F5AA4">
        <w:rPr>
          <w:rFonts w:ascii="Times New Roman" w:hAnsi="Times New Roman"/>
          <w:b/>
          <w:i/>
          <w:sz w:val="24"/>
          <w:szCs w:val="24"/>
          <w:lang w:val="en-GB"/>
        </w:rPr>
        <w:t xml:space="preserve"> e </w:t>
      </w:r>
      <w:proofErr w:type="spellStart"/>
      <w:r w:rsidR="006F5AA4">
        <w:rPr>
          <w:rFonts w:ascii="Times New Roman" w:hAnsi="Times New Roman"/>
          <w:b/>
          <w:i/>
          <w:sz w:val="24"/>
          <w:szCs w:val="24"/>
          <w:lang w:val="en-GB"/>
        </w:rPr>
        <w:t>kreditorëve</w:t>
      </w:r>
      <w:proofErr w:type="spellEnd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>dhe</w:t>
      </w:r>
      <w:proofErr w:type="spellEnd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>debitorëve</w:t>
      </w:r>
      <w:proofErr w:type="spellEnd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>për</w:t>
      </w:r>
      <w:proofErr w:type="spellEnd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>procedurat</w:t>
      </w:r>
      <w:proofErr w:type="spellEnd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 xml:space="preserve"> e </w:t>
      </w:r>
      <w:proofErr w:type="spellStart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>falimentimit</w:t>
      </w:r>
      <w:proofErr w:type="spellEnd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>në</w:t>
      </w:r>
      <w:proofErr w:type="spellEnd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F5AA4">
        <w:rPr>
          <w:rFonts w:ascii="Times New Roman" w:hAnsi="Times New Roman"/>
          <w:b/>
          <w:i/>
          <w:sz w:val="24"/>
          <w:szCs w:val="24"/>
          <w:lang w:val="en-GB"/>
        </w:rPr>
        <w:t>Shqipëri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cilët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</w:t>
      </w:r>
      <w:r w:rsidR="001650D8">
        <w:rPr>
          <w:rFonts w:ascii="Times New Roman" w:hAnsi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shërbejnë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guidë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palët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interesuara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:rsidR="0006111A" w:rsidRDefault="0006111A" w:rsidP="00A2789D">
      <w:pPr>
        <w:pStyle w:val="CVSpacer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F5AA4" w:rsidRDefault="006F5AA4" w:rsidP="006F5AA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C00000"/>
          <w:sz w:val="24"/>
          <w:szCs w:val="24"/>
          <w:lang w:val="sq-AL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Projekte</w:t>
      </w:r>
    </w:p>
    <w:p w:rsidR="006F5AA4" w:rsidRDefault="006F5AA4" w:rsidP="006F5AA4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C704E" w:rsidRDefault="006F5AA4" w:rsidP="006F5A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Në prill 2014 është bërë Nënshkrimi i Marrëveshjes “Mbi zgjidhjen e borxhit në Shqipëri”, mes Ministrisë së Drejtësisë dhe IFC-së.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Agjencia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projektit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Botërore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zgjidhjen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borxhit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biznesit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</w:t>
      </w:r>
      <w:proofErr w:type="spellEnd"/>
      <w:r>
        <w:rPr>
          <w:rFonts w:ascii="Times New Roman" w:hAnsi="Times New Roman"/>
          <w:sz w:val="24"/>
          <w:szCs w:val="24"/>
        </w:rPr>
        <w:t>”.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Gjatë këtij projekti IFC ka asistuar me shërbimet 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konsulencës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për hartimin e akteve ligjore dhe nënligjore lidhur me procedurat e falimentimit dhe organizimit dhe funksionimit të Agjencisë, trajnimet e stafit të Agjencisë si dhe aktorëve që kanë një rol konkret në procedurat e falimentimit si gjyqtarë, avokatë, administratorë falimentimi etj.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Ndërkohë ka nisur implementimi i fazës së II të projektit “Mbi zgjidhjen e Borxhit” për periudhën 20</w:t>
      </w:r>
      <w:r w:rsidR="007C7C72">
        <w:rPr>
          <w:rFonts w:ascii="Times New Roman" w:eastAsia="Times New Roman" w:hAnsi="Times New Roman" w:cs="Times New Roman"/>
          <w:sz w:val="24"/>
          <w:szCs w:val="24"/>
          <w:lang w:val="sq-A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-202</w:t>
      </w:r>
      <w:r w:rsidR="00CC1DE9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pritet nënshkrimi i marrëveshjes nga Ministria e Drejtësisë.</w:t>
      </w:r>
    </w:p>
    <w:p w:rsidR="00656011" w:rsidRDefault="00656011" w:rsidP="006F5A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656011" w:rsidRDefault="00656011" w:rsidP="0065601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val="sq-AL"/>
        </w:rPr>
      </w:pPr>
      <w:r w:rsidRPr="00656011">
        <w:rPr>
          <w:rFonts w:ascii="Times New Roman" w:eastAsia="Times New Roman" w:hAnsi="Times New Roman"/>
          <w:b/>
          <w:color w:val="C00000"/>
          <w:sz w:val="24"/>
          <w:szCs w:val="24"/>
          <w:lang w:val="sq-AL"/>
        </w:rPr>
        <w:t xml:space="preserve">Buxheti </w:t>
      </w:r>
    </w:p>
    <w:p w:rsidR="00656011" w:rsidRDefault="00656011" w:rsidP="00656011">
      <w:pPr>
        <w:spacing w:after="0"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val="sq-AL"/>
        </w:rPr>
      </w:pPr>
    </w:p>
    <w:p w:rsidR="00656011" w:rsidRDefault="00656011" w:rsidP="00656011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656011">
        <w:rPr>
          <w:rFonts w:ascii="Times New Roman" w:eastAsia="Times New Roman" w:hAnsi="Times New Roman"/>
          <w:sz w:val="24"/>
          <w:szCs w:val="24"/>
          <w:lang w:val="sq-AL"/>
        </w:rPr>
        <w:t xml:space="preserve">Fondi i investimit për vitin 2021 ka qenë </w:t>
      </w:r>
      <w:r w:rsidRPr="00E9717A">
        <w:rPr>
          <w:rFonts w:ascii="Times New Roman" w:eastAsia="Times New Roman" w:hAnsi="Times New Roman"/>
          <w:b/>
          <w:sz w:val="24"/>
          <w:szCs w:val="24"/>
          <w:lang w:val="sq-AL"/>
        </w:rPr>
        <w:t>100.000 (njëqind mijë) lekë</w:t>
      </w:r>
      <w:r>
        <w:rPr>
          <w:rFonts w:ascii="Times New Roman" w:eastAsia="Times New Roman" w:hAnsi="Times New Roman"/>
          <w:sz w:val="24"/>
          <w:szCs w:val="24"/>
          <w:lang w:val="sq-AL"/>
        </w:rPr>
        <w:t>, i cili nuk është përdorur.</w:t>
      </w:r>
    </w:p>
    <w:p w:rsidR="00656011" w:rsidRPr="00656011" w:rsidRDefault="00656011" w:rsidP="00656011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Të ardhurat vjetore nga rinovimi i licencave ka qenë </w:t>
      </w:r>
      <w:bookmarkStart w:id="1" w:name="_GoBack"/>
      <w:r w:rsidR="00FA4639" w:rsidRPr="00E9717A">
        <w:rPr>
          <w:rFonts w:ascii="Times New Roman" w:eastAsia="Times New Roman" w:hAnsi="Times New Roman"/>
          <w:b/>
          <w:sz w:val="24"/>
          <w:szCs w:val="24"/>
          <w:lang w:val="sq-AL"/>
        </w:rPr>
        <w:t>150.000 (njëqind e pesëdhjetë mijë) lekë</w:t>
      </w:r>
      <w:bookmarkEnd w:id="1"/>
      <w:r w:rsidR="00FA4639">
        <w:rPr>
          <w:rFonts w:ascii="Times New Roman" w:eastAsia="Times New Roman" w:hAnsi="Times New Roman"/>
          <w:sz w:val="24"/>
          <w:szCs w:val="24"/>
          <w:lang w:val="sq-AL"/>
        </w:rPr>
        <w:t xml:space="preserve">, të cilat i shkojnë buxhetit të shtetit. </w:t>
      </w:r>
    </w:p>
    <w:p w:rsidR="0006111A" w:rsidRPr="00656011" w:rsidRDefault="0006111A" w:rsidP="00A2789D">
      <w:pPr>
        <w:pStyle w:val="CVSpacer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72FAF" w:rsidRDefault="00F72FAF" w:rsidP="00F72FAF">
      <w:pPr>
        <w:pStyle w:val="CVSpacer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color w:val="C00000"/>
          <w:sz w:val="24"/>
          <w:szCs w:val="24"/>
          <w:lang w:val="en-GB"/>
        </w:rPr>
      </w:pPr>
      <w:proofErr w:type="spellStart"/>
      <w:r w:rsidRPr="00F72FAF">
        <w:rPr>
          <w:rFonts w:ascii="Times New Roman" w:hAnsi="Times New Roman"/>
          <w:b/>
          <w:color w:val="C00000"/>
          <w:sz w:val="24"/>
          <w:szCs w:val="24"/>
          <w:lang w:val="en-GB"/>
        </w:rPr>
        <w:t>Plani</w:t>
      </w:r>
      <w:proofErr w:type="spellEnd"/>
      <w:r w:rsidRPr="00F72FAF">
        <w:rPr>
          <w:rFonts w:ascii="Times New Roman" w:hAnsi="Times New Roman"/>
          <w:b/>
          <w:color w:val="C00000"/>
          <w:sz w:val="24"/>
          <w:szCs w:val="24"/>
          <w:lang w:val="en-GB"/>
        </w:rPr>
        <w:t xml:space="preserve"> i </w:t>
      </w:r>
      <w:proofErr w:type="spellStart"/>
      <w:r w:rsidRPr="00F72FAF">
        <w:rPr>
          <w:rFonts w:ascii="Times New Roman" w:hAnsi="Times New Roman"/>
          <w:b/>
          <w:color w:val="C00000"/>
          <w:sz w:val="24"/>
          <w:szCs w:val="24"/>
          <w:lang w:val="en-GB"/>
        </w:rPr>
        <w:t>punës</w:t>
      </w:r>
      <w:proofErr w:type="spellEnd"/>
      <w:r w:rsidRPr="00F72FAF">
        <w:rPr>
          <w:rFonts w:ascii="Times New Roman" w:hAnsi="Times New Roman"/>
          <w:b/>
          <w:color w:val="C00000"/>
          <w:sz w:val="24"/>
          <w:szCs w:val="24"/>
          <w:lang w:val="en-GB"/>
        </w:rPr>
        <w:t xml:space="preserve"> </w:t>
      </w:r>
      <w:proofErr w:type="spellStart"/>
      <w:r w:rsidRPr="00F72FAF">
        <w:rPr>
          <w:rFonts w:ascii="Times New Roman" w:hAnsi="Times New Roman"/>
          <w:b/>
          <w:color w:val="C00000"/>
          <w:sz w:val="24"/>
          <w:szCs w:val="24"/>
          <w:lang w:val="en-GB"/>
        </w:rPr>
        <w:t>për</w:t>
      </w:r>
      <w:proofErr w:type="spellEnd"/>
      <w:r w:rsidRPr="00F72FAF">
        <w:rPr>
          <w:rFonts w:ascii="Times New Roman" w:hAnsi="Times New Roman"/>
          <w:b/>
          <w:color w:val="C00000"/>
          <w:sz w:val="24"/>
          <w:szCs w:val="24"/>
          <w:lang w:val="en-GB"/>
        </w:rPr>
        <w:t xml:space="preserve"> </w:t>
      </w:r>
      <w:proofErr w:type="spellStart"/>
      <w:r w:rsidRPr="00F72FAF">
        <w:rPr>
          <w:rFonts w:ascii="Times New Roman" w:hAnsi="Times New Roman"/>
          <w:b/>
          <w:color w:val="C00000"/>
          <w:sz w:val="24"/>
          <w:szCs w:val="24"/>
          <w:lang w:val="en-GB"/>
        </w:rPr>
        <w:t>vitin</w:t>
      </w:r>
      <w:proofErr w:type="spellEnd"/>
      <w:r w:rsidRPr="00F72FAF">
        <w:rPr>
          <w:rFonts w:ascii="Times New Roman" w:hAnsi="Times New Roman"/>
          <w:b/>
          <w:color w:val="C00000"/>
          <w:sz w:val="24"/>
          <w:szCs w:val="24"/>
          <w:lang w:val="en-GB"/>
        </w:rPr>
        <w:t xml:space="preserve"> 2022</w:t>
      </w:r>
    </w:p>
    <w:p w:rsidR="00F72FAF" w:rsidRDefault="00F72FAF" w:rsidP="00900C9A">
      <w:pPr>
        <w:pStyle w:val="CVSpacer"/>
        <w:spacing w:line="276" w:lineRule="auto"/>
        <w:ind w:left="0"/>
        <w:jc w:val="both"/>
        <w:rPr>
          <w:rFonts w:ascii="Times New Roman" w:hAnsi="Times New Roman"/>
          <w:b/>
          <w:color w:val="C00000"/>
          <w:sz w:val="24"/>
          <w:szCs w:val="24"/>
          <w:lang w:val="en-GB"/>
        </w:rPr>
      </w:pPr>
    </w:p>
    <w:p w:rsidR="00F72FAF" w:rsidRPr="00F72FAF" w:rsidRDefault="00F72FAF" w:rsidP="00900C9A">
      <w:pPr>
        <w:pStyle w:val="CVSpacer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Përcaktimin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rregullave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standartizuara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licencimin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administratorëve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falimentimit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kontrollin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veprimtarisë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tyre duke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garantuar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zbatimin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ligjislacionit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fuqi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0D6F50" w:rsidRPr="0097018E" w:rsidRDefault="00F72FAF" w:rsidP="00900C9A">
      <w:pPr>
        <w:pStyle w:val="CVSpacer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lastRenderedPageBreak/>
        <w:t>Plotësimin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kuadrit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ligjor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garantimin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mjeteve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efikase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siguruar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ligjshmërinë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procedurave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falimentimit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duke </w:t>
      </w:r>
      <w:proofErr w:type="spellStart"/>
      <w:r w:rsidR="000D6F50">
        <w:rPr>
          <w:rFonts w:ascii="Times New Roman" w:hAnsi="Times New Roman"/>
          <w:sz w:val="24"/>
          <w:szCs w:val="24"/>
          <w:lang w:val="en-GB"/>
        </w:rPr>
        <w:t>mbikqyrur</w:t>
      </w:r>
      <w:proofErr w:type="spellEnd"/>
      <w:r w:rsidR="000D6F5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0D6F50">
        <w:rPr>
          <w:rFonts w:ascii="Times New Roman" w:hAnsi="Times New Roman"/>
          <w:sz w:val="24"/>
          <w:szCs w:val="24"/>
          <w:lang w:val="en-GB"/>
        </w:rPr>
        <w:t>veprimtarinë</w:t>
      </w:r>
      <w:proofErr w:type="spellEnd"/>
      <w:r w:rsidR="0097018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D6F50">
        <w:rPr>
          <w:rFonts w:ascii="Times New Roman" w:hAnsi="Times New Roman"/>
          <w:sz w:val="24"/>
          <w:szCs w:val="24"/>
          <w:lang w:val="en-GB"/>
        </w:rPr>
        <w:t xml:space="preserve">e </w:t>
      </w:r>
      <w:proofErr w:type="spellStart"/>
      <w:r w:rsidR="000D6F50">
        <w:rPr>
          <w:rFonts w:ascii="Times New Roman" w:hAnsi="Times New Roman"/>
          <w:sz w:val="24"/>
          <w:szCs w:val="24"/>
          <w:lang w:val="en-GB"/>
        </w:rPr>
        <w:t>administratorëve</w:t>
      </w:r>
      <w:proofErr w:type="spellEnd"/>
      <w:r w:rsidR="000D6F5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0D6F50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="000D6F5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0D6F50">
        <w:rPr>
          <w:rFonts w:ascii="Times New Roman" w:hAnsi="Times New Roman"/>
          <w:sz w:val="24"/>
          <w:szCs w:val="24"/>
          <w:lang w:val="en-GB"/>
        </w:rPr>
        <w:t>falimentimit</w:t>
      </w:r>
      <w:proofErr w:type="spellEnd"/>
      <w:r w:rsidR="000D6F50">
        <w:rPr>
          <w:rFonts w:ascii="Times New Roman" w:hAnsi="Times New Roman"/>
          <w:sz w:val="24"/>
          <w:szCs w:val="24"/>
          <w:lang w:val="en-GB"/>
        </w:rPr>
        <w:t>.</w:t>
      </w:r>
    </w:p>
    <w:p w:rsidR="0097018E" w:rsidRPr="000D6F50" w:rsidRDefault="0097018E" w:rsidP="00900C9A">
      <w:pPr>
        <w:pStyle w:val="CVSpacer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Mbledh</w:t>
      </w:r>
      <w:r>
        <w:rPr>
          <w:rFonts w:ascii="Times New Roman" w:hAnsi="Times New Roman"/>
          <w:sz w:val="24"/>
          <w:szCs w:val="24"/>
          <w:lang w:val="en-GB"/>
        </w:rPr>
        <w:t>ja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përpunimi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i</w:t>
      </w:r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dhëna</w:t>
      </w:r>
      <w:r>
        <w:rPr>
          <w:rFonts w:ascii="Times New Roman" w:hAnsi="Times New Roman"/>
          <w:sz w:val="24"/>
          <w:szCs w:val="24"/>
          <w:lang w:val="en-GB"/>
        </w:rPr>
        <w:t>ve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statistikore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dhëna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tjera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që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lidhen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me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zbatimin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procedurave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falimentit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, duke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krijuar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një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database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këtë</w:t>
      </w:r>
      <w:proofErr w:type="spellEnd"/>
      <w:r w:rsidRPr="00F730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73004">
        <w:rPr>
          <w:rFonts w:ascii="Times New Roman" w:hAnsi="Times New Roman"/>
          <w:sz w:val="24"/>
          <w:szCs w:val="24"/>
          <w:lang w:val="en-GB"/>
        </w:rPr>
        <w:t>qëllim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F72FAF" w:rsidRPr="00C3744E" w:rsidRDefault="000D6F50" w:rsidP="00900C9A">
      <w:pPr>
        <w:pStyle w:val="CVSpacer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Burime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njerëzore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adekuate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qëndrueshme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kualifikuara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me</w:t>
      </w:r>
      <w:r w:rsidR="005E51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E51A4">
        <w:rPr>
          <w:rFonts w:ascii="Times New Roman" w:hAnsi="Times New Roman"/>
          <w:sz w:val="24"/>
          <w:szCs w:val="24"/>
          <w:lang w:val="en-GB"/>
        </w:rPr>
        <w:t>trajnime</w:t>
      </w:r>
      <w:proofErr w:type="spellEnd"/>
      <w:r w:rsidR="005E51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E51A4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="005E51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E51A4">
        <w:rPr>
          <w:rFonts w:ascii="Times New Roman" w:hAnsi="Times New Roman"/>
          <w:sz w:val="24"/>
          <w:szCs w:val="24"/>
          <w:lang w:val="en-GB"/>
        </w:rPr>
        <w:t>përshtatshme</w:t>
      </w:r>
      <w:proofErr w:type="spellEnd"/>
      <w:r w:rsidR="005E51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E51A4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="005E51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E51A4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="005E51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E51A4">
        <w:rPr>
          <w:rFonts w:ascii="Times New Roman" w:hAnsi="Times New Roman"/>
          <w:sz w:val="24"/>
          <w:szCs w:val="24"/>
          <w:lang w:val="en-GB"/>
        </w:rPr>
        <w:t>zvogëluar</w:t>
      </w:r>
      <w:proofErr w:type="spellEnd"/>
      <w:r w:rsidR="005E51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E51A4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="005E51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E51A4">
        <w:rPr>
          <w:rFonts w:ascii="Times New Roman" w:hAnsi="Times New Roman"/>
          <w:sz w:val="24"/>
          <w:szCs w:val="24"/>
          <w:lang w:val="en-GB"/>
        </w:rPr>
        <w:t>eleminuar</w:t>
      </w:r>
      <w:proofErr w:type="spellEnd"/>
      <w:r w:rsidR="005E51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E51A4">
        <w:rPr>
          <w:rFonts w:ascii="Times New Roman" w:hAnsi="Times New Roman"/>
          <w:sz w:val="24"/>
          <w:szCs w:val="24"/>
          <w:lang w:val="en-GB"/>
        </w:rPr>
        <w:t>risqet</w:t>
      </w:r>
      <w:proofErr w:type="spellEnd"/>
      <w:r w:rsidR="005E51A4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integritetit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324592" w:rsidRDefault="00C3744E" w:rsidP="00E76617">
      <w:pPr>
        <w:pStyle w:val="CVSpacer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Publikimi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faqen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zyrtare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AKF-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raporteve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statistikore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raportet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monitorimit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veprimtarisë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adminitsrtaorëve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falimentimit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E76617" w:rsidRDefault="00E76617" w:rsidP="00E76617">
      <w:pPr>
        <w:pStyle w:val="CVSpacer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Publikimi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faqen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zyrtare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AKF-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540FA">
        <w:rPr>
          <w:rFonts w:ascii="Times New Roman" w:hAnsi="Times New Roman"/>
          <w:sz w:val="24"/>
          <w:szCs w:val="24"/>
          <w:lang w:val="en-GB"/>
        </w:rPr>
        <w:t>i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mekanizmave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monitorues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raportet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="001540FA">
        <w:rPr>
          <w:rFonts w:ascii="Times New Roman" w:hAnsi="Times New Roman"/>
          <w:sz w:val="24"/>
          <w:szCs w:val="24"/>
          <w:lang w:val="en-GB"/>
        </w:rPr>
        <w:t>a</w:t>
      </w:r>
      <w:r>
        <w:rPr>
          <w:rFonts w:ascii="Times New Roman" w:hAnsi="Times New Roman"/>
          <w:sz w:val="24"/>
          <w:szCs w:val="24"/>
          <w:lang w:val="en-GB"/>
        </w:rPr>
        <w:t>uditit</w:t>
      </w:r>
      <w:proofErr w:type="spellEnd"/>
      <w:r w:rsidR="001540FA">
        <w:rPr>
          <w:rFonts w:ascii="Times New Roman" w:hAnsi="Times New Roman"/>
          <w:sz w:val="24"/>
          <w:szCs w:val="24"/>
          <w:lang w:val="en-GB"/>
        </w:rPr>
        <w:t xml:space="preserve">; </w:t>
      </w:r>
      <w:proofErr w:type="spellStart"/>
      <w:r w:rsidR="001540FA">
        <w:rPr>
          <w:rFonts w:ascii="Times New Roman" w:hAnsi="Times New Roman"/>
          <w:sz w:val="24"/>
          <w:szCs w:val="24"/>
          <w:lang w:val="en-GB"/>
        </w:rPr>
        <w:t>dokumenta</w:t>
      </w:r>
      <w:proofErr w:type="spellEnd"/>
      <w:r w:rsidR="001540FA">
        <w:rPr>
          <w:rFonts w:ascii="Times New Roman" w:hAnsi="Times New Roman"/>
          <w:sz w:val="24"/>
          <w:szCs w:val="24"/>
          <w:lang w:val="en-GB"/>
        </w:rPr>
        <w:t xml:space="preserve"> me </w:t>
      </w:r>
      <w:proofErr w:type="spellStart"/>
      <w:r w:rsidR="001540FA">
        <w:rPr>
          <w:rFonts w:ascii="Times New Roman" w:hAnsi="Times New Roman"/>
          <w:sz w:val="24"/>
          <w:szCs w:val="24"/>
          <w:lang w:val="en-GB"/>
        </w:rPr>
        <w:t>tregues</w:t>
      </w:r>
      <w:proofErr w:type="spellEnd"/>
      <w:r w:rsidR="001540FA">
        <w:rPr>
          <w:rFonts w:ascii="Times New Roman" w:hAnsi="Times New Roman"/>
          <w:sz w:val="24"/>
          <w:szCs w:val="24"/>
          <w:lang w:val="en-GB"/>
        </w:rPr>
        <w:t xml:space="preserve"> performance </w:t>
      </w:r>
      <w:proofErr w:type="spellStart"/>
      <w:r w:rsidR="001540FA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="001540F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540FA">
        <w:rPr>
          <w:rFonts w:ascii="Times New Roman" w:hAnsi="Times New Roman"/>
          <w:sz w:val="24"/>
          <w:szCs w:val="24"/>
          <w:lang w:val="en-GB"/>
        </w:rPr>
        <w:t>informacion</w:t>
      </w:r>
      <w:proofErr w:type="spellEnd"/>
      <w:r w:rsidR="001540F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540FA">
        <w:rPr>
          <w:rFonts w:ascii="Times New Roman" w:hAnsi="Times New Roman"/>
          <w:sz w:val="24"/>
          <w:szCs w:val="24"/>
          <w:lang w:val="en-GB"/>
        </w:rPr>
        <w:t>mbi</w:t>
      </w:r>
      <w:proofErr w:type="spellEnd"/>
      <w:r w:rsidR="001540F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540FA">
        <w:rPr>
          <w:rFonts w:ascii="Times New Roman" w:hAnsi="Times New Roman"/>
          <w:sz w:val="24"/>
          <w:szCs w:val="24"/>
          <w:lang w:val="en-GB"/>
        </w:rPr>
        <w:t>procedurat</w:t>
      </w:r>
      <w:proofErr w:type="spellEnd"/>
      <w:r w:rsidR="001540FA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="001540FA">
        <w:rPr>
          <w:rFonts w:ascii="Times New Roman" w:hAnsi="Times New Roman"/>
          <w:sz w:val="24"/>
          <w:szCs w:val="24"/>
          <w:lang w:val="en-GB"/>
        </w:rPr>
        <w:t>prokurimit</w:t>
      </w:r>
      <w:proofErr w:type="spellEnd"/>
      <w:r w:rsidR="001540FA">
        <w:rPr>
          <w:rFonts w:ascii="Times New Roman" w:hAnsi="Times New Roman"/>
          <w:sz w:val="24"/>
          <w:szCs w:val="24"/>
          <w:lang w:val="en-GB"/>
        </w:rPr>
        <w:t>.</w:t>
      </w:r>
    </w:p>
    <w:p w:rsidR="001540FA" w:rsidRPr="00E76617" w:rsidRDefault="001540FA" w:rsidP="001540FA">
      <w:pPr>
        <w:pStyle w:val="CVSpacer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1540FA" w:rsidRPr="00E76617" w:rsidSect="000E66E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D3A"/>
    <w:multiLevelType w:val="hybridMultilevel"/>
    <w:tmpl w:val="BB90FE4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8862B1"/>
    <w:multiLevelType w:val="hybridMultilevel"/>
    <w:tmpl w:val="459AAD46"/>
    <w:lvl w:ilvl="0" w:tplc="61BC04B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0606F7"/>
    <w:multiLevelType w:val="hybridMultilevel"/>
    <w:tmpl w:val="7F6A7838"/>
    <w:lvl w:ilvl="0" w:tplc="7922729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28E62C5B"/>
    <w:multiLevelType w:val="hybridMultilevel"/>
    <w:tmpl w:val="2782ED2A"/>
    <w:lvl w:ilvl="0" w:tplc="ED72D15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1BD6C26"/>
    <w:multiLevelType w:val="hybridMultilevel"/>
    <w:tmpl w:val="66A684B6"/>
    <w:lvl w:ilvl="0" w:tplc="B6521468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363A7EF0"/>
    <w:multiLevelType w:val="hybridMultilevel"/>
    <w:tmpl w:val="371C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1684"/>
    <w:multiLevelType w:val="hybridMultilevel"/>
    <w:tmpl w:val="FDEA8E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C30CE"/>
    <w:multiLevelType w:val="hybridMultilevel"/>
    <w:tmpl w:val="96F0DA08"/>
    <w:lvl w:ilvl="0" w:tplc="EB6890EE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0596171"/>
    <w:multiLevelType w:val="hybridMultilevel"/>
    <w:tmpl w:val="993872DA"/>
    <w:lvl w:ilvl="0" w:tplc="1242C2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06C3E16"/>
    <w:multiLevelType w:val="hybridMultilevel"/>
    <w:tmpl w:val="AF689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9080F"/>
    <w:multiLevelType w:val="hybridMultilevel"/>
    <w:tmpl w:val="3124BA74"/>
    <w:lvl w:ilvl="0" w:tplc="504CE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0D2D1F"/>
    <w:multiLevelType w:val="hybridMultilevel"/>
    <w:tmpl w:val="28E8CD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D09B0"/>
    <w:multiLevelType w:val="hybridMultilevel"/>
    <w:tmpl w:val="643E1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90349"/>
    <w:multiLevelType w:val="hybridMultilevel"/>
    <w:tmpl w:val="F650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84E55"/>
    <w:multiLevelType w:val="hybridMultilevel"/>
    <w:tmpl w:val="A39C40CE"/>
    <w:lvl w:ilvl="0" w:tplc="C394A1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4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3"/>
  </w:num>
  <w:num w:numId="15">
    <w:abstractNumId w:val="2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6C"/>
    <w:rsid w:val="00017E49"/>
    <w:rsid w:val="00035EFE"/>
    <w:rsid w:val="000364FC"/>
    <w:rsid w:val="0006111A"/>
    <w:rsid w:val="00084C7D"/>
    <w:rsid w:val="000C60E0"/>
    <w:rsid w:val="000D6463"/>
    <w:rsid w:val="000D6F50"/>
    <w:rsid w:val="000E66E4"/>
    <w:rsid w:val="001540FA"/>
    <w:rsid w:val="001650D8"/>
    <w:rsid w:val="00194BC1"/>
    <w:rsid w:val="001965E1"/>
    <w:rsid w:val="001A4D09"/>
    <w:rsid w:val="001C766A"/>
    <w:rsid w:val="001E6ACF"/>
    <w:rsid w:val="001E6E61"/>
    <w:rsid w:val="00210F57"/>
    <w:rsid w:val="00260002"/>
    <w:rsid w:val="002B6CC1"/>
    <w:rsid w:val="002C5BDC"/>
    <w:rsid w:val="00307A34"/>
    <w:rsid w:val="00324592"/>
    <w:rsid w:val="0033366C"/>
    <w:rsid w:val="003A3D17"/>
    <w:rsid w:val="003F461D"/>
    <w:rsid w:val="00450552"/>
    <w:rsid w:val="004D6103"/>
    <w:rsid w:val="004F2987"/>
    <w:rsid w:val="00570D75"/>
    <w:rsid w:val="005A37D7"/>
    <w:rsid w:val="005C22E1"/>
    <w:rsid w:val="005E14BE"/>
    <w:rsid w:val="005E51A4"/>
    <w:rsid w:val="006047FB"/>
    <w:rsid w:val="00613418"/>
    <w:rsid w:val="00621D16"/>
    <w:rsid w:val="00652872"/>
    <w:rsid w:val="00653ABF"/>
    <w:rsid w:val="00656011"/>
    <w:rsid w:val="00671D03"/>
    <w:rsid w:val="00671F26"/>
    <w:rsid w:val="00696BE7"/>
    <w:rsid w:val="006A415F"/>
    <w:rsid w:val="006F5AA4"/>
    <w:rsid w:val="007A0DEB"/>
    <w:rsid w:val="007A116A"/>
    <w:rsid w:val="007A5861"/>
    <w:rsid w:val="007B56D3"/>
    <w:rsid w:val="007C7593"/>
    <w:rsid w:val="007C7C72"/>
    <w:rsid w:val="0080161E"/>
    <w:rsid w:val="00812607"/>
    <w:rsid w:val="00841C38"/>
    <w:rsid w:val="00881A89"/>
    <w:rsid w:val="008B4FD0"/>
    <w:rsid w:val="008D3565"/>
    <w:rsid w:val="00900C9A"/>
    <w:rsid w:val="0097018E"/>
    <w:rsid w:val="00982542"/>
    <w:rsid w:val="009D7327"/>
    <w:rsid w:val="00A2789D"/>
    <w:rsid w:val="00A9517D"/>
    <w:rsid w:val="00AA04AD"/>
    <w:rsid w:val="00AE6745"/>
    <w:rsid w:val="00C3744E"/>
    <w:rsid w:val="00CC1DE9"/>
    <w:rsid w:val="00D06203"/>
    <w:rsid w:val="00D4206C"/>
    <w:rsid w:val="00D70ECE"/>
    <w:rsid w:val="00D9404F"/>
    <w:rsid w:val="00DA6193"/>
    <w:rsid w:val="00DC5980"/>
    <w:rsid w:val="00DF7337"/>
    <w:rsid w:val="00E42D26"/>
    <w:rsid w:val="00E452D8"/>
    <w:rsid w:val="00E4613B"/>
    <w:rsid w:val="00E56441"/>
    <w:rsid w:val="00E76617"/>
    <w:rsid w:val="00E9717A"/>
    <w:rsid w:val="00EA6EF6"/>
    <w:rsid w:val="00ED2940"/>
    <w:rsid w:val="00ED73CD"/>
    <w:rsid w:val="00EF0E19"/>
    <w:rsid w:val="00F72FAF"/>
    <w:rsid w:val="00F73004"/>
    <w:rsid w:val="00F9217E"/>
    <w:rsid w:val="00FA4639"/>
    <w:rsid w:val="00FB5327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66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rmalchar">
    <w:name w:val="normal__char"/>
    <w:basedOn w:val="DefaultParagraphFont"/>
    <w:rsid w:val="0033366C"/>
  </w:style>
  <w:style w:type="paragraph" w:customStyle="1" w:styleId="CVSpacer">
    <w:name w:val="CV Spacer"/>
    <w:basedOn w:val="Normal"/>
    <w:rsid w:val="0033366C"/>
    <w:pPr>
      <w:spacing w:after="0" w:line="240" w:lineRule="auto"/>
      <w:ind w:left="113" w:right="113"/>
    </w:pPr>
    <w:rPr>
      <w:rFonts w:ascii="Arial Narrow" w:eastAsiaTheme="minorHAnsi" w:hAnsi="Arial Narrow" w:cs="Times New Roman"/>
      <w:sz w:val="4"/>
      <w:szCs w:val="4"/>
      <w:lang w:eastAsia="ar-SA"/>
    </w:rPr>
  </w:style>
  <w:style w:type="paragraph" w:styleId="Caption">
    <w:name w:val="caption"/>
    <w:basedOn w:val="Normal"/>
    <w:next w:val="Normal"/>
    <w:uiPriority w:val="99"/>
    <w:qFormat/>
    <w:rsid w:val="003F46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55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66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rmalchar">
    <w:name w:val="normal__char"/>
    <w:basedOn w:val="DefaultParagraphFont"/>
    <w:rsid w:val="0033366C"/>
  </w:style>
  <w:style w:type="paragraph" w:customStyle="1" w:styleId="CVSpacer">
    <w:name w:val="CV Spacer"/>
    <w:basedOn w:val="Normal"/>
    <w:rsid w:val="0033366C"/>
    <w:pPr>
      <w:spacing w:after="0" w:line="240" w:lineRule="auto"/>
      <w:ind w:left="113" w:right="113"/>
    </w:pPr>
    <w:rPr>
      <w:rFonts w:ascii="Arial Narrow" w:eastAsiaTheme="minorHAnsi" w:hAnsi="Arial Narrow" w:cs="Times New Roman"/>
      <w:sz w:val="4"/>
      <w:szCs w:val="4"/>
      <w:lang w:eastAsia="ar-SA"/>
    </w:rPr>
  </w:style>
  <w:style w:type="paragraph" w:styleId="Caption">
    <w:name w:val="caption"/>
    <w:basedOn w:val="Normal"/>
    <w:next w:val="Normal"/>
    <w:uiPriority w:val="99"/>
    <w:qFormat/>
    <w:rsid w:val="003F46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55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3AC0C-7D3C-452B-9A9D-BB506CF6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Theodhori</dc:creator>
  <cp:lastModifiedBy>Anida Selmanhasko</cp:lastModifiedBy>
  <cp:revision>156</cp:revision>
  <dcterms:created xsi:type="dcterms:W3CDTF">2022-01-13T14:23:00Z</dcterms:created>
  <dcterms:modified xsi:type="dcterms:W3CDTF">2022-01-14T09:50:00Z</dcterms:modified>
</cp:coreProperties>
</file>